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16B6">
      <w:pPr>
        <w:pStyle w:val="2"/>
        <w:spacing w:before="0" w:after="0" w:line="240" w:lineRule="auto"/>
        <w:jc w:val="both"/>
        <w:rPr>
          <w:rFonts w:hint="default" w:eastAsia="宋体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附件1</w:t>
      </w:r>
    </w:p>
    <w:p w14:paraId="3B9718EF">
      <w:pPr>
        <w:pStyle w:val="2"/>
        <w:spacing w:before="0" w:after="0" w:line="240" w:lineRule="auto"/>
        <w:jc w:val="center"/>
        <w:rPr>
          <w:b w:val="0"/>
          <w:bCs/>
          <w:kern w:val="0"/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采购需求</w:t>
      </w:r>
    </w:p>
    <w:p w14:paraId="2EA45CBF">
      <w:pPr>
        <w:spacing w:line="360" w:lineRule="auto"/>
        <w:rPr>
          <w:sz w:val="24"/>
          <w:highlight w:val="none"/>
        </w:rPr>
      </w:pPr>
    </w:p>
    <w:p w14:paraId="7286CFA5">
      <w:pPr>
        <w:numPr>
          <w:ilvl w:val="0"/>
          <w:numId w:val="2"/>
        </w:numPr>
        <w:spacing w:line="360" w:lineRule="auto"/>
        <w:rPr>
          <w:b/>
          <w:bCs/>
          <w:sz w:val="24"/>
          <w:szCs w:val="32"/>
          <w:highlight w:val="none"/>
        </w:rPr>
      </w:pPr>
      <w:r>
        <w:rPr>
          <w:rFonts w:hint="eastAsia"/>
          <w:b/>
          <w:bCs/>
          <w:sz w:val="24"/>
          <w:szCs w:val="32"/>
          <w:highlight w:val="none"/>
        </w:rPr>
        <w:t>采购需求一览表</w:t>
      </w:r>
    </w:p>
    <w:tbl>
      <w:tblPr>
        <w:tblStyle w:val="10"/>
        <w:tblW w:w="445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867"/>
        <w:gridCol w:w="1876"/>
        <w:gridCol w:w="1389"/>
        <w:gridCol w:w="1633"/>
      </w:tblGrid>
      <w:tr w14:paraId="36D6E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 w14:paraId="38D8D8FD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包号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vAlign w:val="center"/>
          </w:tcPr>
          <w:p w14:paraId="7209390D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包名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center"/>
          </w:tcPr>
          <w:p w14:paraId="66DE8B13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品目名称</w:t>
            </w:r>
          </w:p>
        </w:tc>
        <w:tc>
          <w:tcPr>
            <w:tcW w:w="915" w:type="pct"/>
            <w:tcBorders>
              <w:tl2br w:val="nil"/>
              <w:tr2bl w:val="nil"/>
            </w:tcBorders>
            <w:vAlign w:val="center"/>
          </w:tcPr>
          <w:p w14:paraId="028A52B7">
            <w:pPr>
              <w:jc w:val="center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数量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0F93DECC">
            <w:pPr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b/>
                <w:bCs/>
                <w:sz w:val="24"/>
                <w:highlight w:val="none"/>
              </w:rPr>
              <w:t>采购预算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元/年）</w:t>
            </w:r>
          </w:p>
        </w:tc>
      </w:tr>
      <w:tr w14:paraId="26E5F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" w:type="pct"/>
            <w:tcBorders>
              <w:tl2br w:val="nil"/>
              <w:tr2bl w:val="nil"/>
            </w:tcBorders>
            <w:vAlign w:val="center"/>
          </w:tcPr>
          <w:p w14:paraId="6C80948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230" w:type="pct"/>
            <w:tcBorders>
              <w:tl2br w:val="nil"/>
              <w:tr2bl w:val="nil"/>
            </w:tcBorders>
            <w:vAlign w:val="center"/>
          </w:tcPr>
          <w:p w14:paraId="1BCEFF79">
            <w:pPr>
              <w:pStyle w:val="8"/>
              <w:widowControl/>
              <w:spacing w:beforeAutospacing="0" w:afterAutospacing="0"/>
              <w:rPr>
                <w:highlight w:val="none"/>
              </w:rPr>
            </w:pPr>
            <w:r>
              <w:rPr>
                <w:highlight w:val="none"/>
              </w:rPr>
              <w:t>资源管理平台系统</w:t>
            </w:r>
            <w:r>
              <w:rPr>
                <w:rFonts w:hint="eastAsia"/>
                <w:highlight w:val="none"/>
              </w:rPr>
              <w:t>维保服务</w:t>
            </w:r>
            <w:r>
              <w:rPr>
                <w:highlight w:val="none"/>
              </w:rPr>
              <w:t>项目</w:t>
            </w:r>
            <w:r>
              <w:rPr>
                <w:rFonts w:hint="eastAsia"/>
                <w:highlight w:val="none"/>
              </w:rPr>
              <w:t>采购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center"/>
          </w:tcPr>
          <w:p w14:paraId="6F2B8551">
            <w:pPr>
              <w:jc w:val="center"/>
              <w:rPr>
                <w:sz w:val="24"/>
                <w:highlight w:val="none"/>
              </w:rPr>
            </w:pPr>
            <w:r>
              <w:rPr>
                <w:highlight w:val="none"/>
              </w:rPr>
              <w:t>资源管理平台系统</w:t>
            </w:r>
            <w:r>
              <w:rPr>
                <w:rFonts w:hint="eastAsia"/>
                <w:highlight w:val="none"/>
              </w:rPr>
              <w:t>维保</w:t>
            </w:r>
            <w:r>
              <w:rPr>
                <w:highlight w:val="none"/>
              </w:rPr>
              <w:t>服务采购项目</w:t>
            </w:r>
          </w:p>
        </w:tc>
        <w:tc>
          <w:tcPr>
            <w:tcW w:w="915" w:type="pct"/>
            <w:tcBorders>
              <w:tl2br w:val="nil"/>
              <w:tr2bl w:val="nil"/>
            </w:tcBorders>
            <w:vAlign w:val="center"/>
          </w:tcPr>
          <w:p w14:paraId="73A675C0">
            <w:pPr>
              <w:pStyle w:val="19"/>
              <w:tabs>
                <w:tab w:val="left" w:pos="445"/>
              </w:tabs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5400345F">
            <w:pPr>
              <w:pStyle w:val="19"/>
              <w:tabs>
                <w:tab w:val="left" w:pos="445"/>
              </w:tabs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,000.00</w:t>
            </w:r>
          </w:p>
        </w:tc>
      </w:tr>
    </w:tbl>
    <w:p w14:paraId="5E46B170"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1、服务期限：三年。</w:t>
      </w:r>
    </w:p>
    <w:p w14:paraId="5911F5F8"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2、服务地点：广东省生殖医院</w:t>
      </w:r>
    </w:p>
    <w:p w14:paraId="21161498"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3、付款方式：</w:t>
      </w:r>
    </w:p>
    <w:p w14:paraId="6720DB77">
      <w:pPr>
        <w:pStyle w:val="4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合同签署生效，采购人收到供应商</w:t>
      </w:r>
      <w:r>
        <w:rPr>
          <w:rFonts w:hint="eastAsia"/>
          <w:highlight w:val="none"/>
          <w:lang w:val="en-US" w:eastAsia="zh-CN"/>
        </w:rPr>
        <w:t>每年开具的正式发票，30个工作日内，采购人</w:t>
      </w:r>
      <w:r>
        <w:rPr>
          <w:rFonts w:hint="eastAsia"/>
          <w:highlight w:val="none"/>
          <w:lang w:val="en-US" w:eastAsia="zh-CN"/>
        </w:rPr>
        <w:t>当年向供应商支付合同</w:t>
      </w:r>
      <w:r>
        <w:rPr>
          <w:rFonts w:hint="eastAsia"/>
          <w:highlight w:val="none"/>
          <w:lang w:val="en-US" w:eastAsia="zh-CN"/>
        </w:rPr>
        <w:t>金额的50%，待项目验收后，再支付合同金额的50%；</w:t>
      </w:r>
    </w:p>
    <w:p w14:paraId="76C9E72F">
      <w:pPr>
        <w:pStyle w:val="4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4、其他：</w:t>
      </w:r>
      <w:r>
        <w:rPr>
          <w:rFonts w:hint="eastAsia"/>
          <w:color w:val="auto"/>
          <w:highlight w:val="none"/>
        </w:rPr>
        <w:t>合同按年签订，</w:t>
      </w:r>
      <w:r>
        <w:rPr>
          <w:rFonts w:hint="eastAsia"/>
          <w:color w:val="auto"/>
          <w:highlight w:val="none"/>
          <w:lang w:val="en-US" w:eastAsia="zh-CN"/>
        </w:rPr>
        <w:t>每</w:t>
      </w:r>
      <w:r>
        <w:rPr>
          <w:rFonts w:hint="eastAsia"/>
          <w:color w:val="auto"/>
          <w:highlight w:val="none"/>
        </w:rPr>
        <w:t>一年协议期满，如双方有意继续合作，在价格不变的情况下续签，应在期满前一个月重新签订书面协议书；如没有重新签订协议书或书面约定延期的，该合同服务期限届满时本协议书即告终止。</w:t>
      </w:r>
    </w:p>
    <w:p w14:paraId="25C086A6">
      <w:pPr>
        <w:numPr>
          <w:ilvl w:val="0"/>
          <w:numId w:val="3"/>
        </w:numPr>
        <w:spacing w:line="360" w:lineRule="auto"/>
        <w:rPr>
          <w:b/>
          <w:bCs/>
          <w:sz w:val="24"/>
          <w:highlight w:val="none"/>
        </w:rPr>
      </w:pPr>
      <w:r>
        <w:rPr>
          <w:b/>
          <w:bCs/>
          <w:sz w:val="24"/>
          <w:highlight w:val="none"/>
        </w:rPr>
        <w:t>服务内容</w:t>
      </w:r>
    </w:p>
    <w:p w14:paraId="4F4F8995">
      <w:pPr>
        <w:pStyle w:val="4"/>
        <w:rPr>
          <w:rFonts w:hint="eastAsia"/>
          <w:highlight w:val="none"/>
          <w:lang w:val="en-US" w:eastAsia="zh-CN"/>
        </w:rPr>
      </w:pPr>
      <w:bookmarkStart w:id="0" w:name="_Toc351625743"/>
      <w:bookmarkStart w:id="1" w:name="_Toc119592325"/>
      <w:bookmarkStart w:id="2" w:name="_Toc119930702"/>
      <w:bookmarkStart w:id="3" w:name="_Toc72913294"/>
      <w:bookmarkStart w:id="4" w:name="_Toc9079195"/>
      <w:bookmarkStart w:id="5" w:name="_Toc149119221"/>
      <w:bookmarkStart w:id="6" w:name="_Toc148961250"/>
      <w:bookmarkStart w:id="7" w:name="_Toc130549189"/>
      <w:bookmarkStart w:id="8" w:name="_Toc121256479"/>
      <w:bookmarkStart w:id="9" w:name="_Toc124791103"/>
      <w:bookmarkStart w:id="10" w:name="_Toc520806043"/>
      <w:bookmarkStart w:id="11" w:name="_Toc37007093"/>
      <w:bookmarkStart w:id="12" w:name="_Toc119592639"/>
      <w:bookmarkStart w:id="13" w:name="_Toc120797062"/>
      <w:bookmarkStart w:id="14" w:name="_Toc119592482"/>
      <w:bookmarkStart w:id="15" w:name="_Toc149059488"/>
      <w:bookmarkStart w:id="16" w:name="_Toc88664505"/>
      <w:bookmarkStart w:id="17" w:name="_Toc147765238"/>
      <w:bookmarkStart w:id="18" w:name="_Toc73981184"/>
      <w:bookmarkStart w:id="19" w:name="_Toc144914709"/>
      <w:bookmarkStart w:id="20" w:name="_Toc135762662"/>
      <w:bookmarkStart w:id="21" w:name="_Toc136374019"/>
      <w:bookmarkStart w:id="22" w:name="_Toc76054540"/>
      <w:bookmarkStart w:id="23" w:name="_Ref138756772"/>
      <w:bookmarkStart w:id="24" w:name="_Toc146109781"/>
      <w:bookmarkStart w:id="25" w:name="_Toc148961237"/>
      <w:bookmarkStart w:id="26" w:name="_Toc72913321"/>
      <w:bookmarkStart w:id="27" w:name="_Toc26369099"/>
      <w:bookmarkStart w:id="28" w:name="_Toc356305674"/>
      <w:bookmarkStart w:id="29" w:name="_Toc130549177"/>
      <w:bookmarkStart w:id="30" w:name="_Toc363204269"/>
      <w:bookmarkStart w:id="31" w:name="_Toc119592470"/>
      <w:bookmarkStart w:id="32" w:name="_Toc70087134"/>
      <w:bookmarkStart w:id="33" w:name="_Toc128743490"/>
      <w:bookmarkStart w:id="34" w:name="_Toc144914722"/>
      <w:bookmarkStart w:id="35" w:name="_Toc517696210"/>
      <w:bookmarkStart w:id="36" w:name="_Toc59024084"/>
      <w:bookmarkStart w:id="37" w:name="_Toc53328930"/>
      <w:bookmarkStart w:id="38" w:name="_Toc124791091"/>
      <w:bookmarkStart w:id="39" w:name="_Toc132818858"/>
      <w:bookmarkStart w:id="40" w:name="_Toc119592313"/>
      <w:bookmarkStart w:id="41" w:name="_Toc72913286"/>
      <w:bookmarkStart w:id="42" w:name="_Toc133243666"/>
      <w:bookmarkStart w:id="43" w:name="_Toc44579015"/>
      <w:bookmarkStart w:id="44" w:name="_Toc47390389"/>
      <w:bookmarkStart w:id="45" w:name="_Toc134017904"/>
      <w:bookmarkStart w:id="46" w:name="_Toc26171128"/>
      <w:bookmarkStart w:id="47" w:name="_Toc88664492"/>
      <w:bookmarkStart w:id="48" w:name="_Toc528841079"/>
      <w:bookmarkStart w:id="49" w:name="_Toc127543151"/>
      <w:bookmarkStart w:id="50" w:name="_Toc73981172"/>
      <w:bookmarkStart w:id="51" w:name="_Toc146109793"/>
      <w:bookmarkStart w:id="52" w:name="_Toc59634334"/>
      <w:bookmarkStart w:id="53" w:name="_Toc129715357"/>
      <w:bookmarkStart w:id="54" w:name="_Toc123050878"/>
      <w:bookmarkStart w:id="55" w:name="_Toc55850448"/>
      <w:bookmarkStart w:id="56" w:name="_Toc328854245"/>
      <w:bookmarkStart w:id="57" w:name="_Toc60314210"/>
      <w:bookmarkStart w:id="58" w:name="_Toc119592627"/>
      <w:bookmarkStart w:id="59" w:name="_Toc121256467"/>
      <w:bookmarkStart w:id="60" w:name="_Toc119592186"/>
      <w:bookmarkStart w:id="61" w:name="_Toc147765244"/>
      <w:bookmarkStart w:id="62" w:name="_Toc363204377"/>
      <w:bookmarkStart w:id="63" w:name="_Toc76054528"/>
      <w:bookmarkStart w:id="64" w:name="_Toc119930690"/>
      <w:bookmarkStart w:id="65" w:name="_Toc134017652"/>
      <w:bookmarkStart w:id="66" w:name="_Toc120797050"/>
      <w:r>
        <w:rPr>
          <w:rFonts w:hint="eastAsia"/>
          <w:highlight w:val="none"/>
          <w:lang w:val="en-US" w:eastAsia="zh-Hans"/>
        </w:rPr>
        <w:t>保障本项目</w:t>
      </w:r>
      <w:r>
        <w:rPr>
          <w:rFonts w:hint="eastAsia"/>
          <w:highlight w:val="none"/>
          <w:lang w:val="en-US" w:eastAsia="zh-CN"/>
        </w:rPr>
        <w:t>资源管理平台系统</w:t>
      </w:r>
      <w:r>
        <w:rPr>
          <w:rFonts w:hint="eastAsia"/>
          <w:highlight w:val="none"/>
          <w:lang w:val="en-US" w:eastAsia="zh-Hans"/>
        </w:rPr>
        <w:t>稳定、高效运行，优化应用环境，提高、深化应用水平。贯彻高效率ITIL支持服务策略，提高服务效率与质量，着重于创新突破、稳定品质、落实管理及提高效率等方面。</w:t>
      </w:r>
    </w:p>
    <w:p w14:paraId="395DFDC2">
      <w:pPr>
        <w:numPr>
          <w:numId w:val="0"/>
        </w:numPr>
        <w:spacing w:line="360" w:lineRule="auto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  <w:lang w:eastAsia="zh-CN"/>
        </w:rPr>
        <w:t>（</w:t>
      </w:r>
      <w:r>
        <w:rPr>
          <w:rFonts w:hint="eastAsia"/>
          <w:b/>
          <w:bCs/>
          <w:sz w:val="24"/>
          <w:highlight w:val="none"/>
          <w:lang w:val="en-US" w:eastAsia="zh-CN"/>
        </w:rPr>
        <w:t>一）</w:t>
      </w:r>
      <w:r>
        <w:rPr>
          <w:b/>
          <w:bCs/>
          <w:sz w:val="24"/>
          <w:highlight w:val="none"/>
        </w:rPr>
        <w:t>项目运维服务目标及原则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39CF9D9">
      <w:pPr>
        <w:pStyle w:val="4"/>
        <w:rPr>
          <w:rFonts w:hint="eastAsia"/>
          <w:highlight w:val="none"/>
          <w:lang w:val="en-US" w:eastAsia="zh-Hans"/>
        </w:rPr>
      </w:pPr>
      <w:bookmarkStart w:id="67" w:name="_Toc351625745"/>
      <w:bookmarkStart w:id="68" w:name="_Toc149059490"/>
      <w:bookmarkStart w:id="69" w:name="_Toc72913296"/>
      <w:bookmarkStart w:id="70" w:name="_Toc130549191"/>
      <w:bookmarkStart w:id="71" w:name="_Toc124791105"/>
      <w:bookmarkStart w:id="72" w:name="_Toc9079197"/>
      <w:bookmarkStart w:id="73" w:name="_Toc520806045"/>
      <w:r>
        <w:rPr>
          <w:rFonts w:hint="eastAsia"/>
          <w:highlight w:val="none"/>
          <w:lang w:val="en-US" w:eastAsia="zh-CN"/>
        </w:rPr>
        <w:t>1.1</w:t>
      </w:r>
      <w:r>
        <w:rPr>
          <w:rFonts w:hint="eastAsia"/>
          <w:highlight w:val="none"/>
          <w:lang w:val="en-US" w:eastAsia="zh-Hans"/>
        </w:rPr>
        <w:t>具体目标</w:t>
      </w:r>
      <w:bookmarkEnd w:id="67"/>
      <w:bookmarkEnd w:id="68"/>
      <w:bookmarkEnd w:id="69"/>
      <w:bookmarkEnd w:id="70"/>
      <w:bookmarkEnd w:id="71"/>
      <w:bookmarkEnd w:id="72"/>
      <w:bookmarkEnd w:id="73"/>
    </w:p>
    <w:p w14:paraId="1829D7A5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运维服务具体目标包括系统稳定、配置合理、操作娴熟、需求控制及高效能化。</w:t>
      </w:r>
    </w:p>
    <w:p w14:paraId="1842984E">
      <w:pPr>
        <w:pStyle w:val="4"/>
        <w:rPr>
          <w:rFonts w:hint="eastAsia"/>
          <w:highlight w:val="none"/>
          <w:lang w:val="en-US" w:eastAsia="zh-Hans"/>
        </w:rPr>
      </w:pPr>
      <w:bookmarkStart w:id="74" w:name="_Toc130549192"/>
      <w:bookmarkStart w:id="75" w:name="_Toc72913297"/>
      <w:bookmarkStart w:id="76" w:name="_Toc124791106"/>
      <w:bookmarkStart w:id="77" w:name="_Toc520806046"/>
      <w:bookmarkStart w:id="78" w:name="_Toc9079198"/>
      <w:bookmarkStart w:id="79" w:name="_Toc149059491"/>
      <w:bookmarkStart w:id="80" w:name="_Toc351625746"/>
      <w:r>
        <w:rPr>
          <w:rFonts w:hint="eastAsia"/>
          <w:highlight w:val="none"/>
          <w:lang w:val="en-US" w:eastAsia="zh-CN"/>
        </w:rPr>
        <w:t>1.2</w:t>
      </w:r>
      <w:r>
        <w:rPr>
          <w:rFonts w:hint="eastAsia"/>
          <w:highlight w:val="none"/>
          <w:lang w:val="en-US" w:eastAsia="zh-Hans"/>
        </w:rPr>
        <w:t>服务原则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4DD9A720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统一性：统一归口医院项目信息系统管理部门管理，工作开展方式尽量依据医院工作规范执行。例如：工作时间方面，运维顾问早晚上班时间、国家节假日休假安排、年假等统一执行医院标准。</w:t>
      </w:r>
    </w:p>
    <w:p w14:paraId="31ED58B5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规范性：严格遵守医院信息化相关管理规范、制度、办法及流程，提高日常运维服务工作效率与质量。</w:t>
      </w:r>
    </w:p>
    <w:p w14:paraId="7970E8AC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主动性：把运维服务工作从简单的后台支持前移，通过问题、风险预防，向系统“零问题”目标迈进！</w:t>
      </w:r>
    </w:p>
    <w:p w14:paraId="7B9B1547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动态性：随着医院业务经营环境、整体业务发展战略等方面条件的变化及时做出对应调整。</w:t>
      </w:r>
    </w:p>
    <w:p w14:paraId="078C3C4F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专业性：构建基于最佳业务实践的运维服务体系，保证服务工作事项清晰、效率、可追溯，任何工作可记录、可分析、可改进。</w:t>
      </w:r>
    </w:p>
    <w:p w14:paraId="4F42E0A4">
      <w:pPr>
        <w:numPr>
          <w:ilvl w:val="0"/>
          <w:numId w:val="0"/>
        </w:numPr>
        <w:spacing w:line="360" w:lineRule="auto"/>
        <w:rPr>
          <w:highlight w:val="none"/>
        </w:rPr>
      </w:pPr>
      <w:bookmarkStart w:id="81" w:name="_Toc149119222"/>
      <w:bookmarkStart w:id="82" w:name="_Toc149059492"/>
      <w:r>
        <w:rPr>
          <w:rFonts w:hint="eastAsia"/>
          <w:b/>
          <w:bCs/>
          <w:sz w:val="24"/>
          <w:highlight w:val="none"/>
          <w:lang w:eastAsia="zh-CN"/>
        </w:rPr>
        <w:t>（</w:t>
      </w:r>
      <w:r>
        <w:rPr>
          <w:rFonts w:hint="eastAsia"/>
          <w:b/>
          <w:bCs/>
          <w:sz w:val="24"/>
          <w:highlight w:val="none"/>
          <w:lang w:val="en-US" w:eastAsia="zh-CN"/>
        </w:rPr>
        <w:t>二）</w:t>
      </w:r>
      <w:r>
        <w:rPr>
          <w:rFonts w:hint="eastAsia"/>
          <w:b/>
          <w:bCs/>
          <w:sz w:val="24"/>
          <w:highlight w:val="none"/>
          <w:lang w:eastAsia="zh-CN"/>
        </w:rPr>
        <w:t>运维服务技术需求</w:t>
      </w: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81"/>
    <w:bookmarkEnd w:id="82"/>
    <w:p w14:paraId="53B0DEF3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1.面向采购方所有院区提供7*24小时服务。</w:t>
      </w:r>
    </w:p>
    <w:p w14:paraId="4365F548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包括：各类使用问题进行及时排查处理；对采购方单位各科室工作人员进行应用系统使用操作指导；资源管理平台系统使用过程中的问题受理、事务处理、故障排除；资源管理平台系统的流程改造。通过定期巡检和排查工作，对维护性问题及时处理，对涉及系统 BUG 问题进行处理，做到尽早发现问题、尽快消除安全隐患、提前预防重大事故发生，从而保障采购方资源管理平台系统安全稳定运行。定期到各院区各科室走访，了解实际使用中的问题，提出合理的流程优化及改进建议。</w:t>
      </w:r>
    </w:p>
    <w:p w14:paraId="397F9F4D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2.本地运维服务</w:t>
      </w:r>
    </w:p>
    <w:p w14:paraId="700F2622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免费维保期内，安排相关技术人员进行技术支持（根据项目需求安排人员配置），技术人员具备一定的行业工作经验，指导各科室使用系统，保障系统稳定、有序的为采购人服务,按照医院工作时间提供本地化售后服务。包括但不限于功能增强性维护等应用软件系统扩充升级（其中包括系统维护、跟踪检测、数据迁移等）、工作参数修改、数据字典维护、用户权限控制、操作口令或密码设置和修改、数据安全性操作、数据备份和恢复、故障排除、系统迁移、硬件现场维修等，保证软、硬件能够正常运行，主动发现问题并解决问题。</w:t>
      </w:r>
    </w:p>
    <w:p w14:paraId="1036EC67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3.其他技术服务方案</w:t>
      </w:r>
    </w:p>
    <w:p w14:paraId="2617DD3F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在本次工程建设中和工程验收投入使用后，需配有专门的项目服务组，提供如下服务内容：</w:t>
      </w:r>
    </w:p>
    <w:p w14:paraId="7C8F8BB4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1）实施前技术服务：包括工程执行方案咨询和设计、设备检测、软件环境虚拟及数据字典准备和报告模板准备；</w:t>
      </w:r>
    </w:p>
    <w:p w14:paraId="29EF8615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2）实施中技术服务：包括安装、调试及工程指导——依据工程执行方案进行实施，并以此为客户培养出工程技术队伍。包括系统培训、基础知识教程培训、建立单独的服务档案，以保证提供的售后服务准确、周到、及时。</w:t>
      </w:r>
    </w:p>
    <w:p w14:paraId="64F799AF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3）验收后技术服务：维护期内，项目服务组人员留守——工程验收后，根据实际需要，委派工程技术人员在现场长期留守、零时间为客户提供技术服务，配合采取远程维护、电话及传真咨询、电子邮件和互联网远程支持等多种方式，共同进行。负责参数与性能的调整和维护工作。</w:t>
      </w:r>
    </w:p>
    <w:p w14:paraId="09CFC869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4）软件升级和客户化：根据实际情况实现软件客户化，与医院合作进行软件新功能等方面的开发。</w:t>
      </w:r>
    </w:p>
    <w:p w14:paraId="034824F6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4.提供远程运维服务、现场服务及回访服务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Fonts w:hint="eastAsia"/>
          <w:highlight w:val="none"/>
          <w:lang w:val="en-US" w:eastAsia="zh-Hans"/>
        </w:rPr>
        <w:t>。</w:t>
      </w:r>
    </w:p>
    <w:p w14:paraId="01BEA96B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5.提供专项定制开发服务，在硬件环境层、基础系统软件层、业务平台软件层及业务应用软件层的架构基础上，对新的业务需求进行专门定制化功能开发，包括专项开发需求报告及解决方案，专项定制开发内容测试报告，专项定制开发操作手册等。</w:t>
      </w:r>
    </w:p>
    <w:p w14:paraId="0A761C42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6.提供更正性维护、适应型维护、完善性维护及预防性维护等系统调整服务。</w:t>
      </w:r>
    </w:p>
    <w:p w14:paraId="7026C4CB">
      <w:pPr>
        <w:pStyle w:val="4"/>
        <w:rPr>
          <w:rFonts w:hint="eastAsia"/>
          <w:highlight w:val="none"/>
          <w:lang w:val="en-US" w:eastAsia="zh-Hans"/>
        </w:rPr>
      </w:pPr>
      <w:bookmarkStart w:id="83" w:name="_Toc149119238"/>
      <w:bookmarkStart w:id="84" w:name="_Toc148961268"/>
      <w:bookmarkStart w:id="85" w:name="_Toc149059520"/>
      <w:r>
        <w:rPr>
          <w:rFonts w:hint="eastAsia"/>
          <w:highlight w:val="none"/>
          <w:lang w:val="en-US" w:eastAsia="zh-Hans"/>
        </w:rPr>
        <w:t>7.能够使用四级故障等级来定义系统故障的严重程度，对故障等级进行划分，并具备突发事件应急处理流程，根据突发事件级别配备相应的人员类型，进行紧急故障处理，实施应急措施。</w:t>
      </w:r>
    </w:p>
    <w:p w14:paraId="1A589A80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8.投标人具备完善的保障服务能力，能够做好网络机房服务器的密码保护工作，防止非本单位人员操作数据库。定期对数据进行检查，对预期发生的问题做好事先防范。建立健全重要数据及时备份和灾难性数据恢复机制，对服务器的数据进行定期备份，并刻录在不可擦写的介质里进行保存。</w:t>
      </w:r>
    </w:p>
    <w:p w14:paraId="542BE06A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9.支持提供保障措施，保障医院系统建设从建设期到运维期平稳过渡。</w:t>
      </w:r>
    </w:p>
    <w:p w14:paraId="324D1A06">
      <w:pPr>
        <w:pStyle w:val="4"/>
        <w:rPr>
          <w:rFonts w:hint="eastAsia"/>
          <w:highlight w:val="none"/>
          <w:lang w:val="en-US" w:eastAsia="zh-Hans"/>
        </w:rPr>
      </w:pPr>
      <w:r>
        <w:rPr>
          <w:rFonts w:hint="eastAsia"/>
          <w:highlight w:val="none"/>
          <w:lang w:val="en-US" w:eastAsia="zh-Hans"/>
        </w:rPr>
        <w:t>10.人员支撑配备</w:t>
      </w:r>
      <w:bookmarkEnd w:id="83"/>
      <w:bookmarkEnd w:id="84"/>
      <w:bookmarkEnd w:id="85"/>
      <w:r>
        <w:rPr>
          <w:rFonts w:hint="eastAsia"/>
          <w:highlight w:val="none"/>
          <w:lang w:val="en-US" w:eastAsia="zh-Hans"/>
        </w:rPr>
        <w:t>：建立专职售后服务组（QQ、微信或其它在线支持）解答采购人在使用中遇到的问题，及时为采购人提出解决问题的建议，提供7*24小时全天候技术服务。按照对采购方实际工作的影响程度，满足日常运维、程序 BUG 修复、接口对接、本地化修改四个方面内容。</w:t>
      </w:r>
      <w:bookmarkStart w:id="86" w:name="_GoBack"/>
      <w:bookmarkEnd w:id="86"/>
    </w:p>
    <w:p w14:paraId="3BF34385">
      <w:pPr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595ED0"/>
    <w:multiLevelType w:val="singleLevel"/>
    <w:tmpl w:val="F5595E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97EE7E"/>
    <w:multiLevelType w:val="singleLevel"/>
    <w:tmpl w:val="4797EE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9A44B6"/>
    <w:multiLevelType w:val="multilevel"/>
    <w:tmpl w:val="6F9A44B6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0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7"/>
      <w:isLgl/>
      <w:lvlText w:val="%1.%2.%3.%4"/>
      <w:lvlJc w:val="left"/>
      <w:pPr>
        <w:ind w:left="840" w:firstLine="0"/>
      </w:pPr>
      <w:rPr>
        <w:rFonts w:hint="eastAsia"/>
      </w:rPr>
    </w:lvl>
    <w:lvl w:ilvl="4" w:tentative="0">
      <w:start w:val="1"/>
      <w:numFmt w:val="decimal"/>
      <w:pStyle w:val="18"/>
      <w:isLgl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lvlText w:val="%6、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0A"/>
    <w:rsid w:val="00136A59"/>
    <w:rsid w:val="00184AE2"/>
    <w:rsid w:val="00350F6E"/>
    <w:rsid w:val="005E2099"/>
    <w:rsid w:val="00717B0A"/>
    <w:rsid w:val="00AF6AF4"/>
    <w:rsid w:val="00C52045"/>
    <w:rsid w:val="00CB6F7B"/>
    <w:rsid w:val="00F535F1"/>
    <w:rsid w:val="00F9149B"/>
    <w:rsid w:val="0B103DEB"/>
    <w:rsid w:val="0C1B2B2B"/>
    <w:rsid w:val="39665332"/>
    <w:rsid w:val="3F3E1253"/>
    <w:rsid w:val="47E642ED"/>
    <w:rsid w:val="5061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4"/>
    <w:qFormat/>
    <w:uiPriority w:val="0"/>
    <w:pPr>
      <w:adjustRightInd w:val="0"/>
      <w:spacing w:before="340" w:after="330" w:line="578" w:lineRule="atLeast"/>
      <w:textAlignment w:val="baseline"/>
      <w:outlineLvl w:val="0"/>
    </w:pPr>
    <w:rPr>
      <w:bCs w:val="0"/>
      <w:kern w:val="44"/>
      <w:sz w:val="44"/>
      <w:szCs w:val="20"/>
    </w:rPr>
  </w:style>
  <w:style w:type="paragraph" w:styleId="3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5"/>
    <w:next w:val="4"/>
    <w:link w:val="16"/>
    <w:unhideWhenUsed/>
    <w:qFormat/>
    <w:uiPriority w:val="99"/>
    <w:pPr>
      <w:spacing w:before="240" w:beforeLines="100" w:line="360" w:lineRule="auto"/>
      <w:ind w:left="0" w:leftChars="0" w:firstLine="480" w:firstLineChars="200"/>
    </w:pPr>
    <w:rPr>
      <w:color w:val="000000"/>
      <w:kern w:val="0"/>
    </w:r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5">
    <w:name w:val="正文文本缩进 字符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首行缩进 2 字符"/>
    <w:basedOn w:val="15"/>
    <w:link w:val="9"/>
    <w:qFormat/>
    <w:uiPriority w:val="99"/>
    <w:rPr>
      <w:rFonts w:ascii="Times New Roman" w:hAnsi="Times New Roman" w:eastAsia="宋体" w:cs="Times New Roman"/>
      <w:color w:val="000000"/>
      <w:kern w:val="0"/>
      <w:szCs w:val="24"/>
    </w:rPr>
  </w:style>
  <w:style w:type="paragraph" w:customStyle="1" w:styleId="17">
    <w:name w:val="电大标题4"/>
    <w:basedOn w:val="1"/>
    <w:next w:val="1"/>
    <w:qFormat/>
    <w:uiPriority w:val="0"/>
    <w:pPr>
      <w:keepNext/>
      <w:keepLines/>
      <w:numPr>
        <w:ilvl w:val="3"/>
        <w:numId w:val="1"/>
      </w:numPr>
      <w:spacing w:before="100" w:after="100"/>
      <w:jc w:val="left"/>
      <w:outlineLvl w:val="3"/>
    </w:pPr>
    <w:rPr>
      <w:rFonts w:asciiTheme="majorEastAsia" w:hAnsiTheme="majorEastAsia" w:eastAsiaTheme="majorEastAsia"/>
      <w:b/>
      <w:sz w:val="28"/>
      <w:szCs w:val="32"/>
    </w:rPr>
  </w:style>
  <w:style w:type="paragraph" w:customStyle="1" w:styleId="18">
    <w:name w:val="电大标题5"/>
    <w:basedOn w:val="1"/>
    <w:next w:val="1"/>
    <w:qFormat/>
    <w:uiPriority w:val="0"/>
    <w:pPr>
      <w:keepNext/>
      <w:keepLines/>
      <w:numPr>
        <w:ilvl w:val="4"/>
        <w:numId w:val="1"/>
      </w:numPr>
      <w:spacing w:before="100" w:after="100"/>
      <w:jc w:val="left"/>
      <w:outlineLvl w:val="4"/>
    </w:pPr>
    <w:rPr>
      <w:b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电大标题3"/>
    <w:basedOn w:val="1"/>
    <w:next w:val="1"/>
    <w:qFormat/>
    <w:uiPriority w:val="0"/>
    <w:pPr>
      <w:keepNext/>
      <w:keepLines/>
      <w:numPr>
        <w:ilvl w:val="2"/>
        <w:numId w:val="1"/>
      </w:numPr>
      <w:spacing w:before="200" w:after="200"/>
      <w:jc w:val="left"/>
      <w:outlineLvl w:val="2"/>
    </w:pPr>
    <w:rPr>
      <w:b/>
      <w:sz w:val="28"/>
    </w:rPr>
  </w:style>
  <w:style w:type="character" w:customStyle="1" w:styleId="21">
    <w:name w:val="标题 3 字符"/>
    <w:basedOn w:val="11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2075</Words>
  <Characters>2114</Characters>
  <Lines>14</Lines>
  <Paragraphs>4</Paragraphs>
  <TotalTime>34</TotalTime>
  <ScaleCrop>false</ScaleCrop>
  <LinksUpToDate>false</LinksUpToDate>
  <CharactersWithSpaces>2118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2024-11-24T06:30:00Z</dcterms:created>
  <dc:creator>余俊豪</dc:creator>
  <cp:lastModifiedBy>张梦媛</cp:lastModifiedBy>
  <dcterms:modified xsi:type="dcterms:W3CDTF">2026-01-15T08:32:28Z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eyJoZGlkIjoiMmYyNzJhMjNmMmIyN2M4MzM5MGI4Y2E4MDk4MzBkOGYiLCJ1c2VySWQiOiIxNTYxNjkyNjAxIn0=</vt:lpwstr>
  </property>
  <property fmtid="{D5CDD505-2E9C-101B-9397-08002B2CF9AE}" pid="3" name="KSOProductBuildVer">
    <vt:lpwstr>2052-12.1.0.24657</vt:lpwstr>
  </property>
  <property fmtid="{D5CDD505-2E9C-101B-9397-08002B2CF9AE}" pid="4" name="ICV">
    <vt:lpwstr>0552D4EC95BE4FA9B075A70BAB867B9C_12</vt:lpwstr>
  </property>
</Properties>
</file>