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CFDD2">
      <w:pPr>
        <w:pStyle w:val="31"/>
        <w:ind w:firstLine="0" w:firstLineChars="0"/>
        <w:jc w:val="center"/>
        <w:rPr>
          <w:rFonts w:cs="Arial"/>
          <w:b/>
          <w:bCs/>
          <w:iCs/>
          <w:sz w:val="30"/>
          <w:szCs w:val="30"/>
        </w:rPr>
      </w:pPr>
      <w:bookmarkStart w:id="0" w:name="_Toc422212563"/>
      <w:bookmarkStart w:id="1" w:name="_Toc422296027"/>
      <w:bookmarkStart w:id="2" w:name="_Toc406079056"/>
      <w:bookmarkStart w:id="3" w:name="_Toc421185809"/>
      <w:bookmarkStart w:id="4" w:name="_Toc421176541"/>
      <w:bookmarkStart w:id="5" w:name="_Toc421176589"/>
      <w:bookmarkStart w:id="6" w:name="_Toc450137300"/>
      <w:r>
        <w:rPr>
          <w:rFonts w:hint="eastAsia" w:cs="Arial"/>
          <w:b/>
          <w:bCs/>
          <w:iCs/>
          <w:sz w:val="30"/>
          <w:szCs w:val="30"/>
        </w:rPr>
        <w:t>科研管理系统</w:t>
      </w:r>
      <w:bookmarkEnd w:id="0"/>
      <w:bookmarkEnd w:id="1"/>
      <w:bookmarkEnd w:id="2"/>
      <w:bookmarkEnd w:id="3"/>
      <w:bookmarkEnd w:id="4"/>
      <w:bookmarkEnd w:id="5"/>
      <w:bookmarkEnd w:id="6"/>
      <w:r>
        <w:rPr>
          <w:rFonts w:hint="eastAsia" w:cs="Arial"/>
          <w:b/>
          <w:bCs/>
          <w:iCs/>
          <w:sz w:val="30"/>
          <w:szCs w:val="30"/>
        </w:rPr>
        <w:t>参数</w:t>
      </w:r>
    </w:p>
    <w:p w14:paraId="48E21DAE">
      <w:pPr>
        <w:pStyle w:val="31"/>
        <w:ind w:firstLine="0" w:firstLineChars="0"/>
        <w:jc w:val="center"/>
        <w:rPr>
          <w:rFonts w:cs="Arial"/>
          <w:b/>
          <w:bCs/>
          <w:iCs/>
          <w:sz w:val="30"/>
          <w:szCs w:val="30"/>
        </w:rPr>
      </w:pPr>
    </w:p>
    <w:p w14:paraId="2599857D">
      <w:pPr>
        <w:pStyle w:val="17"/>
      </w:pPr>
      <w:r>
        <w:rPr>
          <w:rFonts w:hint="eastAsia"/>
        </w:rPr>
        <w:t>项目</w:t>
      </w:r>
      <w:r>
        <w:t>背景</w:t>
      </w:r>
    </w:p>
    <w:p w14:paraId="0DA2C7C2">
      <w:pPr>
        <w:ind w:firstLine="504" w:firstLineChars="210"/>
      </w:pPr>
      <w:r>
        <w:rPr>
          <w:rFonts w:hint="eastAsia"/>
        </w:rPr>
        <w:t>科研管理是医院管理的重要业务。目前医院缺乏一套科研管理系统，不利于科研工作的规范化和信息化管理。</w:t>
      </w:r>
    </w:p>
    <w:p w14:paraId="38D60B8F">
      <w:pPr>
        <w:ind w:firstLine="504" w:firstLineChars="210"/>
      </w:pPr>
      <w:r>
        <w:rPr>
          <w:rFonts w:hint="eastAsia"/>
        </w:rPr>
        <w:t>为了提升医院科研管理水平，实现科研项目申报、审批、以及进度、经费、衍生成果的信息化管理，拟采购科研管理系统,实现科研全流程信息化闭环管理。</w:t>
      </w:r>
    </w:p>
    <w:p w14:paraId="06863BA1">
      <w:pPr>
        <w:pStyle w:val="17"/>
      </w:pPr>
      <w:r>
        <w:t>建设目标</w:t>
      </w:r>
    </w:p>
    <w:p w14:paraId="66AA3852">
      <w:pPr>
        <w:ind w:firstLine="504" w:firstLineChars="210"/>
      </w:pPr>
      <w:r>
        <w:rPr>
          <w:rFonts w:hint="eastAsia"/>
        </w:rPr>
        <w:t>1、满足科研项目闭环管理需求，以课题为中心，建立完整的课题档案，实现全生命周期跟踪；实现科研项目申报、审批、以及进度、经费、衍生成果的全面信息化管理;建立完整的课题经费手册，直观监控经费预算、支出、余额，用好每一笔科研经费。</w:t>
      </w:r>
    </w:p>
    <w:p w14:paraId="2B3FA1C5">
      <w:pPr>
        <w:ind w:firstLine="504" w:firstLineChars="210"/>
      </w:pPr>
      <w:r>
        <w:t>2、</w:t>
      </w:r>
      <w:r>
        <w:rPr>
          <w:rFonts w:hint="eastAsia"/>
        </w:rPr>
        <w:t>通过本系统的建设，提高医院科研管理水平，实现科研管理规范化、流程化，为管理决策提供数据支持。</w:t>
      </w:r>
    </w:p>
    <w:p w14:paraId="432DBF55">
      <w:pPr>
        <w:pStyle w:val="17"/>
      </w:pPr>
      <w:bookmarkStart w:id="7" w:name="_Toc262893310"/>
      <w:bookmarkStart w:id="8" w:name="_Toc450137302"/>
      <w:bookmarkStart w:id="9" w:name="_Toc178049979"/>
      <w:r>
        <w:rPr>
          <w:rFonts w:hint="eastAsia"/>
        </w:rPr>
        <w:t>基本要求</w:t>
      </w:r>
      <w:bookmarkEnd w:id="7"/>
      <w:bookmarkEnd w:id="8"/>
    </w:p>
    <w:p w14:paraId="4D1205A2">
      <w:pPr>
        <w:pStyle w:val="31"/>
        <w:numPr>
          <w:ilvl w:val="0"/>
          <w:numId w:val="2"/>
        </w:numPr>
        <w:tabs>
          <w:tab w:val="left" w:pos="0"/>
          <w:tab w:val="clear" w:pos="846"/>
        </w:tabs>
        <w:ind w:left="0" w:firstLine="476" w:firstLineChars="0"/>
        <w:rPr>
          <w:rFonts w:cs="Arial"/>
          <w:bCs/>
          <w:iCs/>
          <w:color w:val="auto"/>
          <w:szCs w:val="24"/>
        </w:rPr>
      </w:pPr>
      <w:bookmarkStart w:id="23" w:name="_GoBack"/>
      <w:r>
        <w:rPr>
          <w:rFonts w:hint="eastAsia" w:cs="Arial"/>
          <w:bCs/>
          <w:iCs/>
          <w:color w:val="auto"/>
          <w:szCs w:val="24"/>
        </w:rPr>
        <w:t>系统建设遵循先进性、实用性、安全性、开放性与标准化等原则，保证系统建设、维护、使用的低成本、可靠性、安全性、易用性和易于维护，并要求系统具有良好的扩展性，以保证医院在不断发展壮大形势下的管理需要。</w:t>
      </w:r>
    </w:p>
    <w:p w14:paraId="476EE4F4">
      <w:pPr>
        <w:pStyle w:val="31"/>
        <w:numPr>
          <w:ilvl w:val="0"/>
          <w:numId w:val="2"/>
        </w:numPr>
        <w:tabs>
          <w:tab w:val="left" w:pos="-142"/>
          <w:tab w:val="clear" w:pos="846"/>
        </w:tabs>
        <w:ind w:left="0" w:firstLine="476" w:firstLineChars="0"/>
        <w:rPr>
          <w:rFonts w:cs="Arial"/>
          <w:bCs/>
          <w:iCs/>
          <w:color w:val="auto"/>
          <w:szCs w:val="24"/>
        </w:rPr>
      </w:pPr>
      <w:r>
        <w:rPr>
          <w:rFonts w:hint="eastAsia" w:cs="Arial"/>
          <w:bCs/>
          <w:iCs/>
          <w:color w:val="auto"/>
          <w:szCs w:val="24"/>
        </w:rPr>
        <w:t>▲在技术上，采用先进技术架构优先考虑，支持主流的数据库。</w:t>
      </w:r>
    </w:p>
    <w:p w14:paraId="04523AF6">
      <w:pPr>
        <w:pStyle w:val="31"/>
        <w:numPr>
          <w:ilvl w:val="0"/>
          <w:numId w:val="2"/>
        </w:numPr>
        <w:tabs>
          <w:tab w:val="left" w:pos="-142"/>
          <w:tab w:val="clear" w:pos="846"/>
        </w:tabs>
        <w:ind w:left="0" w:firstLine="476" w:firstLineChars="0"/>
        <w:rPr>
          <w:rFonts w:cs="Arial"/>
          <w:bCs/>
          <w:iCs/>
          <w:color w:val="auto"/>
          <w:szCs w:val="24"/>
        </w:rPr>
      </w:pPr>
      <w:r>
        <w:rPr>
          <w:rFonts w:hint="eastAsia" w:cs="Arial"/>
          <w:bCs/>
          <w:iCs/>
          <w:color w:val="auto"/>
          <w:szCs w:val="24"/>
        </w:rPr>
        <w:t>灵活性与扩充性：选用符合国际发展潮流的国际标准的软件，使系统具有良好的可移植性、可扩展性，保证在将来发展中迅速采用最新出现的技术，降低系统成本。</w:t>
      </w:r>
    </w:p>
    <w:p w14:paraId="61ACAC6F">
      <w:pPr>
        <w:pStyle w:val="31"/>
        <w:numPr>
          <w:ilvl w:val="0"/>
          <w:numId w:val="2"/>
        </w:numPr>
        <w:tabs>
          <w:tab w:val="left" w:pos="-142"/>
          <w:tab w:val="clear" w:pos="846"/>
        </w:tabs>
        <w:ind w:left="0" w:firstLine="476" w:firstLineChars="0"/>
        <w:rPr>
          <w:rFonts w:cs="Arial"/>
          <w:bCs/>
          <w:iCs/>
          <w:color w:val="auto"/>
          <w:szCs w:val="24"/>
        </w:rPr>
      </w:pPr>
      <w:r>
        <w:rPr>
          <w:rFonts w:hint="eastAsia" w:cs="Arial"/>
          <w:bCs/>
          <w:iCs/>
          <w:color w:val="auto"/>
          <w:szCs w:val="24"/>
        </w:rPr>
        <w:t>科研管理系统采用</w:t>
      </w:r>
      <w:r>
        <w:rPr>
          <w:rFonts w:cs="Arial"/>
          <w:bCs/>
          <w:iCs/>
          <w:color w:val="auto"/>
          <w:szCs w:val="24"/>
        </w:rPr>
        <w:t>B/S</w:t>
      </w:r>
      <w:r>
        <w:rPr>
          <w:rFonts w:hint="eastAsia" w:cs="Arial"/>
          <w:bCs/>
          <w:iCs/>
          <w:color w:val="auto"/>
          <w:szCs w:val="24"/>
        </w:rPr>
        <w:t>方式处理数据，并能够在医院工作环境下稳定运行。</w:t>
      </w:r>
    </w:p>
    <w:p w14:paraId="385FF996">
      <w:pPr>
        <w:pStyle w:val="31"/>
        <w:numPr>
          <w:ilvl w:val="0"/>
          <w:numId w:val="2"/>
        </w:numPr>
        <w:tabs>
          <w:tab w:val="left" w:pos="-142"/>
          <w:tab w:val="clear" w:pos="846"/>
        </w:tabs>
        <w:ind w:left="0" w:firstLine="476" w:firstLineChars="0"/>
        <w:rPr>
          <w:rFonts w:cs="Arial"/>
          <w:bCs/>
          <w:iCs/>
          <w:color w:val="auto"/>
          <w:szCs w:val="24"/>
        </w:rPr>
      </w:pPr>
      <w:r>
        <w:rPr>
          <w:rFonts w:hint="eastAsia" w:cs="Arial"/>
          <w:bCs/>
          <w:iCs/>
          <w:color w:val="auto"/>
          <w:szCs w:val="24"/>
        </w:rPr>
        <w:t>系统注册用户数不受限制，满足全院人员使用。</w:t>
      </w:r>
    </w:p>
    <w:p w14:paraId="1BF543C7">
      <w:pPr>
        <w:pStyle w:val="31"/>
        <w:numPr>
          <w:ilvl w:val="0"/>
          <w:numId w:val="2"/>
        </w:numPr>
        <w:tabs>
          <w:tab w:val="left" w:pos="-142"/>
          <w:tab w:val="clear" w:pos="846"/>
        </w:tabs>
        <w:ind w:left="0" w:firstLine="476" w:firstLineChars="0"/>
        <w:rPr>
          <w:rFonts w:cs="Arial"/>
          <w:bCs/>
          <w:iCs/>
          <w:color w:val="auto"/>
          <w:szCs w:val="24"/>
        </w:rPr>
      </w:pPr>
      <w:r>
        <w:rPr>
          <w:rFonts w:hint="eastAsia" w:cs="Arial"/>
          <w:bCs/>
          <w:iCs/>
          <w:color w:val="auto"/>
          <w:szCs w:val="24"/>
        </w:rPr>
        <w:t>根据国家政策变化以及相关部门安全管理要求，系统可免费升级至符合国产化信创要求版本，厂商需配合无条件改造升级。部署环境需完全适配国产化服务器，并能提供国产操作系统（中标麒麟、银河麒麟、麒麟信安、统信中选1）、国产数据库管理系统（金仓、达梦、华库、优炫、神通、瀚高中选1）、国产化中间件（永中、东方通、金蝶中选1）的技术互认证书。（技术互认证书需体现系统产品供应商与国产合作厂商双方的盖章件）。</w:t>
      </w:r>
    </w:p>
    <w:bookmarkEnd w:id="23"/>
    <w:p w14:paraId="2B35D846">
      <w:pPr>
        <w:pStyle w:val="17"/>
      </w:pPr>
      <w:bookmarkStart w:id="10" w:name="_Toc450137303"/>
      <w:bookmarkStart w:id="11" w:name="_Toc262893311"/>
      <w:r>
        <w:rPr>
          <w:rFonts w:hint="eastAsia"/>
        </w:rPr>
        <w:t>功能</w:t>
      </w:r>
      <w:bookmarkEnd w:id="10"/>
      <w:bookmarkEnd w:id="11"/>
      <w:r>
        <w:rPr>
          <w:rFonts w:hint="eastAsia"/>
        </w:rPr>
        <w:t>需求</w:t>
      </w:r>
    </w:p>
    <w:p w14:paraId="4BB6CAFF">
      <w:pPr>
        <w:pStyle w:val="3"/>
        <w:rPr>
          <w:color w:val="auto"/>
        </w:rPr>
      </w:pPr>
      <w:r>
        <w:rPr>
          <w:rFonts w:hint="eastAsia"/>
          <w:color w:val="auto"/>
        </w:rPr>
        <w:t>科研门户</w:t>
      </w:r>
    </w:p>
    <w:p w14:paraId="3E96831C">
      <w:pPr>
        <w:pStyle w:val="31"/>
        <w:numPr>
          <w:ilvl w:val="0"/>
          <w:numId w:val="3"/>
        </w:numPr>
        <w:ind w:firstLineChars="0"/>
        <w:rPr>
          <w:rFonts w:cs="Arial"/>
          <w:bCs/>
          <w:iCs/>
          <w:szCs w:val="24"/>
        </w:rPr>
      </w:pPr>
      <w:r>
        <w:rPr>
          <w:rFonts w:hint="eastAsia" w:cs="Arial"/>
          <w:bCs/>
          <w:iCs/>
          <w:szCs w:val="24"/>
        </w:rPr>
        <w:t>管理员可自定义个人办公门户，根据需求把个人相关的各种工作信息栏目、传阅、流程、日程、任务等多种办公模块在个人科研门户上展示。</w:t>
      </w:r>
    </w:p>
    <w:p w14:paraId="2F30A748">
      <w:pPr>
        <w:pStyle w:val="31"/>
        <w:numPr>
          <w:ilvl w:val="0"/>
          <w:numId w:val="3"/>
        </w:numPr>
        <w:ind w:firstLineChars="0"/>
        <w:rPr>
          <w:rFonts w:cs="Arial"/>
          <w:bCs/>
          <w:iCs/>
          <w:szCs w:val="24"/>
        </w:rPr>
      </w:pPr>
      <w:r>
        <w:rPr>
          <w:rFonts w:hint="eastAsia" w:cs="Arial"/>
          <w:bCs/>
          <w:iCs/>
          <w:szCs w:val="24"/>
        </w:rPr>
        <w:t>可定义多级门户，如医院科研门户、科室门户、专题门户等；可根据门户内容设置相应的人员访问权限。</w:t>
      </w:r>
    </w:p>
    <w:p w14:paraId="788E5463">
      <w:pPr>
        <w:pStyle w:val="31"/>
        <w:numPr>
          <w:ilvl w:val="0"/>
          <w:numId w:val="3"/>
        </w:numPr>
        <w:ind w:firstLineChars="0"/>
        <w:rPr>
          <w:rFonts w:cs="Arial"/>
          <w:bCs/>
          <w:iCs/>
          <w:szCs w:val="24"/>
        </w:rPr>
      </w:pPr>
      <w:r>
        <w:rPr>
          <w:rFonts w:hint="eastAsia" w:cs="Arial"/>
          <w:bCs/>
          <w:iCs/>
          <w:szCs w:val="24"/>
        </w:rPr>
        <w:t>可建立报表门户，在门户上展现部分客户需要的统计表格和图表，并设置相应的访问权限。</w:t>
      </w:r>
    </w:p>
    <w:p w14:paraId="07485500">
      <w:pPr>
        <w:pStyle w:val="31"/>
        <w:numPr>
          <w:ilvl w:val="0"/>
          <w:numId w:val="3"/>
        </w:numPr>
        <w:ind w:firstLineChars="0"/>
        <w:rPr>
          <w:rFonts w:cs="Arial"/>
          <w:bCs/>
          <w:iCs/>
          <w:szCs w:val="24"/>
        </w:rPr>
      </w:pPr>
      <w:r>
        <w:rPr>
          <w:rFonts w:hint="eastAsia" w:cs="Arial"/>
          <w:bCs/>
          <w:iCs/>
          <w:szCs w:val="24"/>
        </w:rPr>
        <w:t>需支持门户栏目设置、门户发布/查看权限设置、门户顺序设置、移动端门户及功能设置、门户栏目信息发布流程和权限设置。</w:t>
      </w:r>
    </w:p>
    <w:p w14:paraId="7CF19E5D">
      <w:pPr>
        <w:pStyle w:val="5"/>
      </w:pPr>
      <w:r>
        <w:rPr>
          <w:rFonts w:hint="eastAsia"/>
        </w:rPr>
        <w:t>通知公告</w:t>
      </w:r>
    </w:p>
    <w:p w14:paraId="5C554CEB">
      <w:pPr>
        <w:pStyle w:val="31"/>
        <w:numPr>
          <w:ilvl w:val="0"/>
          <w:numId w:val="4"/>
        </w:numPr>
        <w:ind w:firstLineChars="0"/>
        <w:rPr>
          <w:rFonts w:cs="Arial"/>
          <w:bCs/>
          <w:iCs/>
          <w:szCs w:val="24"/>
        </w:rPr>
      </w:pPr>
      <w:r>
        <w:rPr>
          <w:rFonts w:hint="eastAsia" w:cs="Arial"/>
          <w:bCs/>
          <w:iCs/>
          <w:szCs w:val="24"/>
        </w:rPr>
        <w:t>需支持自定义公告类别，并设置已定义类别的权限范围。</w:t>
      </w:r>
    </w:p>
    <w:p w14:paraId="4F74CC61">
      <w:pPr>
        <w:pStyle w:val="31"/>
        <w:numPr>
          <w:ilvl w:val="0"/>
          <w:numId w:val="4"/>
        </w:numPr>
        <w:ind w:firstLineChars="0"/>
        <w:rPr>
          <w:rFonts w:cs="Arial"/>
          <w:bCs/>
          <w:iCs/>
          <w:szCs w:val="24"/>
        </w:rPr>
      </w:pPr>
      <w:r>
        <w:rPr>
          <w:rFonts w:hint="eastAsia" w:cs="Arial"/>
          <w:bCs/>
          <w:iCs/>
          <w:szCs w:val="24"/>
        </w:rPr>
        <w:t>▲通知公告可按医院需求，设置直接发布或通过审批流程确认后发布两种方式。</w:t>
      </w:r>
    </w:p>
    <w:p w14:paraId="4ED18C7D">
      <w:pPr>
        <w:pStyle w:val="31"/>
        <w:numPr>
          <w:ilvl w:val="0"/>
          <w:numId w:val="4"/>
        </w:numPr>
        <w:ind w:firstLineChars="0"/>
        <w:rPr>
          <w:rFonts w:cs="Arial"/>
          <w:bCs/>
          <w:iCs/>
          <w:szCs w:val="24"/>
        </w:rPr>
      </w:pPr>
      <w:r>
        <w:rPr>
          <w:rFonts w:hint="eastAsia" w:cs="Arial"/>
          <w:bCs/>
          <w:iCs/>
          <w:szCs w:val="24"/>
        </w:rPr>
        <w:t>发布通知公告时可选择类别，并需支持在线编辑信息内容；需支持插入图片、链接的内容；支持上传文档附件。</w:t>
      </w:r>
    </w:p>
    <w:p w14:paraId="58077CC9">
      <w:pPr>
        <w:pStyle w:val="31"/>
        <w:numPr>
          <w:ilvl w:val="0"/>
          <w:numId w:val="4"/>
        </w:numPr>
        <w:ind w:firstLineChars="0"/>
        <w:rPr>
          <w:rFonts w:cs="Arial"/>
          <w:bCs/>
          <w:iCs/>
          <w:szCs w:val="24"/>
        </w:rPr>
      </w:pPr>
      <w:r>
        <w:rPr>
          <w:rFonts w:hint="eastAsia" w:cs="Arial"/>
          <w:bCs/>
          <w:iCs/>
          <w:szCs w:val="24"/>
        </w:rPr>
        <w:t>每个人点开通知公告可具备水印效果防止信息外泄。</w:t>
      </w:r>
    </w:p>
    <w:p w14:paraId="324B2202">
      <w:pPr>
        <w:pStyle w:val="31"/>
        <w:numPr>
          <w:ilvl w:val="0"/>
          <w:numId w:val="4"/>
        </w:numPr>
        <w:ind w:firstLineChars="0"/>
        <w:rPr>
          <w:rFonts w:cs="Arial"/>
          <w:bCs/>
          <w:iCs/>
          <w:szCs w:val="24"/>
        </w:rPr>
      </w:pPr>
      <w:r>
        <w:rPr>
          <w:rFonts w:hint="eastAsia" w:cs="Arial"/>
          <w:bCs/>
          <w:iCs/>
          <w:szCs w:val="24"/>
        </w:rPr>
        <w:t>可记录接收人的查阅公告的时间。</w:t>
      </w:r>
    </w:p>
    <w:p w14:paraId="07646B4A">
      <w:pPr>
        <w:pStyle w:val="5"/>
      </w:pPr>
      <w:r>
        <w:t>科研消息</w:t>
      </w:r>
    </w:p>
    <w:p w14:paraId="3274B114">
      <w:pPr>
        <w:pStyle w:val="31"/>
        <w:numPr>
          <w:ilvl w:val="0"/>
          <w:numId w:val="5"/>
        </w:numPr>
        <w:ind w:firstLineChars="0"/>
        <w:rPr>
          <w:rFonts w:cs="Arial"/>
          <w:bCs/>
          <w:iCs/>
          <w:szCs w:val="24"/>
        </w:rPr>
      </w:pPr>
      <w:r>
        <w:rPr>
          <w:rFonts w:hint="eastAsia" w:cs="Arial"/>
          <w:bCs/>
          <w:iCs/>
          <w:szCs w:val="24"/>
        </w:rPr>
        <w:t>发起传阅时可设置选项，包括是否允许转发、是否允许修改附件、是否允许上传附件、是否允许下载附件、否是允许转发等功能开关。</w:t>
      </w:r>
    </w:p>
    <w:p w14:paraId="41BA12C6">
      <w:pPr>
        <w:pStyle w:val="31"/>
        <w:numPr>
          <w:ilvl w:val="0"/>
          <w:numId w:val="5"/>
        </w:numPr>
        <w:ind w:firstLineChars="0"/>
        <w:rPr>
          <w:rFonts w:cs="Arial"/>
          <w:bCs/>
          <w:iCs/>
          <w:szCs w:val="24"/>
        </w:rPr>
      </w:pPr>
      <w:r>
        <w:rPr>
          <w:rFonts w:hint="eastAsia" w:cs="Arial"/>
          <w:bCs/>
          <w:iCs/>
          <w:szCs w:val="24"/>
        </w:rPr>
        <w:t>需支持记录接收人的开封信息，包括确定信息、开封时间、到达时间、确认时间等。</w:t>
      </w:r>
    </w:p>
    <w:p w14:paraId="1A6F0CD9">
      <w:pPr>
        <w:pStyle w:val="31"/>
        <w:numPr>
          <w:ilvl w:val="0"/>
          <w:numId w:val="5"/>
        </w:numPr>
        <w:ind w:firstLineChars="0"/>
        <w:rPr>
          <w:rFonts w:cs="Arial"/>
          <w:bCs/>
          <w:iCs/>
          <w:szCs w:val="24"/>
        </w:rPr>
      </w:pPr>
      <w:r>
        <w:rPr>
          <w:rFonts w:hint="eastAsia" w:cs="Arial"/>
          <w:bCs/>
          <w:iCs/>
          <w:szCs w:val="24"/>
        </w:rPr>
        <w:t>支持讨论功能，各接收人可以就传阅内容发起在线讨论。</w:t>
      </w:r>
    </w:p>
    <w:p w14:paraId="314CAF48">
      <w:pPr>
        <w:pStyle w:val="31"/>
        <w:numPr>
          <w:ilvl w:val="0"/>
          <w:numId w:val="5"/>
        </w:numPr>
        <w:ind w:firstLineChars="0"/>
        <w:rPr>
          <w:rFonts w:cs="Arial"/>
          <w:bCs/>
          <w:iCs/>
          <w:szCs w:val="24"/>
        </w:rPr>
      </w:pPr>
      <w:r>
        <w:rPr>
          <w:rFonts w:hint="eastAsia" w:cs="Arial"/>
          <w:bCs/>
          <w:iCs/>
          <w:szCs w:val="24"/>
        </w:rPr>
        <w:t>附件可由所有参与人在线编辑、修订，可编辑文件格式应支持Word、Excel文件，word文档可保留修订痕迹。</w:t>
      </w:r>
    </w:p>
    <w:p w14:paraId="65ED3DD0">
      <w:pPr>
        <w:pStyle w:val="3"/>
        <w:rPr>
          <w:color w:val="auto"/>
        </w:rPr>
      </w:pPr>
      <w:r>
        <w:rPr>
          <w:color w:val="auto"/>
        </w:rPr>
        <w:t>课题管理</w:t>
      </w:r>
    </w:p>
    <w:p w14:paraId="59693A8A">
      <w:pPr>
        <w:pStyle w:val="4"/>
        <w:ind w:firstLine="480"/>
      </w:pPr>
      <w:r>
        <w:rPr>
          <w:rFonts w:hint="eastAsia"/>
        </w:rPr>
        <w:t>实现从课题申报、专家评审、立项、结题/验收的全过程管理。详尽记录课题基本信息、课题组成员、专家评审意见、衍生成果信息、以及课题方案阶段进展报告、结题报告等各种附件材料，跟踪课题进度、经费使用情况、各种奖励、惩罚情况，为每项科研课题建立完整的电子档案。</w:t>
      </w:r>
    </w:p>
    <w:p w14:paraId="34F7A224">
      <w:pPr>
        <w:pStyle w:val="5"/>
      </w:pPr>
      <w:r>
        <w:rPr>
          <w:rFonts w:hint="eastAsia"/>
        </w:rPr>
        <w:t>课题申报</w:t>
      </w:r>
    </w:p>
    <w:p w14:paraId="1B140909">
      <w:pPr>
        <w:pStyle w:val="4"/>
        <w:ind w:firstLine="480"/>
      </w:pPr>
      <w:r>
        <w:rPr>
          <w:rFonts w:hint="eastAsia"/>
        </w:rPr>
        <w:t>课题申报科研人员在线申报课题，科室负责人、伦理委员会、科研部等部门进行初步审核，审核通过后提交专家组对课题的可行性、技术先进性方面进行评审。审核流程可根据医院实际情况自由定义，流程完全图形化。</w:t>
      </w:r>
    </w:p>
    <w:p w14:paraId="6AAB5C75">
      <w:pPr>
        <w:pStyle w:val="4"/>
        <w:ind w:firstLine="480"/>
      </w:pPr>
      <w:r>
        <w:rPr>
          <w:rFonts w:hint="eastAsia"/>
        </w:rPr>
        <w:t>项目申请信息填报表可自定义，全过程可网络填报。</w:t>
      </w:r>
    </w:p>
    <w:p w14:paraId="4B06EB91">
      <w:pPr>
        <w:pStyle w:val="4"/>
        <w:ind w:firstLine="480"/>
      </w:pPr>
      <w:r>
        <w:rPr>
          <w:rFonts w:hint="eastAsia"/>
        </w:rPr>
        <w:t>项目可按国家级、省级、厅级、院级、自研项目等分组。按学科分：人才培训、生物研究等。</w:t>
      </w:r>
    </w:p>
    <w:p w14:paraId="6387E534">
      <w:pPr>
        <w:pStyle w:val="5"/>
      </w:pPr>
      <w:r>
        <w:t>专家评审</w:t>
      </w:r>
    </w:p>
    <w:p w14:paraId="6F70D953">
      <w:pPr>
        <w:pStyle w:val="4"/>
        <w:ind w:firstLine="480"/>
      </w:pPr>
      <w:r>
        <w:rPr>
          <w:rFonts w:hint="eastAsia"/>
        </w:rPr>
        <w:t>▲对单个课题、或者批量多个课题，一次性指定1名，或者盲选多名评审专家。评审专家可以自行登录系统、录入评审意见及评分。也可以由科研管理员集中录入。综合了所有专家的意见之后，形成每个课题的综合评审结果，科研管理员录入系统。</w:t>
      </w:r>
    </w:p>
    <w:p w14:paraId="574E3266">
      <w:pPr>
        <w:pStyle w:val="4"/>
        <w:ind w:firstLine="480"/>
      </w:pPr>
      <w:r>
        <w:rPr>
          <w:rFonts w:hint="eastAsia"/>
        </w:rPr>
        <w:t>系统需提供分数汇总和评审结果的查看功能。</w:t>
      </w:r>
    </w:p>
    <w:p w14:paraId="6DF04699">
      <w:pPr>
        <w:pStyle w:val="5"/>
      </w:pPr>
      <w:r>
        <w:t>科研经费管理</w:t>
      </w:r>
    </w:p>
    <w:p w14:paraId="35D149BA">
      <w:pPr>
        <w:pStyle w:val="4"/>
        <w:ind w:firstLine="480"/>
      </w:pPr>
      <w:r>
        <w:rPr>
          <w:rFonts w:hint="eastAsia"/>
        </w:rPr>
        <w:t>课题经费管理为每个课题建立完整的经费台帐，包括经费预算、支出、余额。经费预算可以细分到材料费、差旅费、会议费等经费科目，并以直观的方式显示出每个科目的预算总额、累计支出、可用余额。</w:t>
      </w:r>
    </w:p>
    <w:p w14:paraId="39063F02">
      <w:pPr>
        <w:pStyle w:val="4"/>
        <w:ind w:firstLine="480"/>
      </w:pPr>
      <w:r>
        <w:rPr>
          <w:rFonts w:hint="eastAsia"/>
        </w:rPr>
        <w:t>每个课题的经费来源可以包含国家自然科学基金、上级单位下拨经费、医院配套经费等。</w:t>
      </w:r>
    </w:p>
    <w:p w14:paraId="3FAC12C8">
      <w:pPr>
        <w:pStyle w:val="31"/>
        <w:numPr>
          <w:ilvl w:val="0"/>
          <w:numId w:val="6"/>
        </w:numPr>
        <w:ind w:firstLineChars="0"/>
        <w:rPr>
          <w:rFonts w:cs="Arial"/>
          <w:bCs/>
          <w:iCs/>
          <w:szCs w:val="24"/>
        </w:rPr>
      </w:pPr>
      <w:r>
        <w:rPr>
          <w:rFonts w:hint="eastAsia" w:cs="Arial"/>
          <w:bCs/>
          <w:iCs/>
          <w:szCs w:val="24"/>
        </w:rPr>
        <w:t>预算编制</w:t>
      </w:r>
    </w:p>
    <w:p w14:paraId="47596171">
      <w:pPr>
        <w:pStyle w:val="4"/>
        <w:ind w:firstLine="480"/>
      </w:pPr>
      <w:r>
        <w:rPr>
          <w:rFonts w:hint="eastAsia"/>
        </w:rPr>
        <w:t>系统支持录入项目的直接经费、间接经费、配套经费以及制订对应的经费明细科目预算等。</w:t>
      </w:r>
    </w:p>
    <w:p w14:paraId="4AFBFD46">
      <w:pPr>
        <w:pStyle w:val="31"/>
        <w:numPr>
          <w:ilvl w:val="0"/>
          <w:numId w:val="6"/>
        </w:numPr>
        <w:ind w:firstLineChars="0"/>
        <w:rPr>
          <w:rFonts w:cs="Arial"/>
          <w:bCs/>
          <w:iCs/>
          <w:szCs w:val="24"/>
        </w:rPr>
      </w:pPr>
      <w:r>
        <w:rPr>
          <w:rFonts w:hint="eastAsia" w:cs="Arial"/>
          <w:bCs/>
          <w:iCs/>
          <w:szCs w:val="24"/>
        </w:rPr>
        <w:t>经费到账</w:t>
      </w:r>
    </w:p>
    <w:p w14:paraId="40303C5F">
      <w:pPr>
        <w:pStyle w:val="4"/>
        <w:ind w:firstLine="480"/>
      </w:pPr>
      <w:r>
        <w:rPr>
          <w:rFonts w:hint="eastAsia"/>
        </w:rPr>
        <w:t>由财务部做到款登记，然后由科研管理部门进行经费下拨到具体项目，通过科研管理部门和财务部的审核后，系统内具体得项目就可以进行经费报销。</w:t>
      </w:r>
    </w:p>
    <w:p w14:paraId="1588EF77">
      <w:pPr>
        <w:pStyle w:val="31"/>
        <w:numPr>
          <w:ilvl w:val="0"/>
          <w:numId w:val="6"/>
        </w:numPr>
        <w:ind w:firstLineChars="0"/>
        <w:rPr>
          <w:rFonts w:cs="Arial"/>
          <w:bCs/>
          <w:iCs/>
          <w:szCs w:val="24"/>
        </w:rPr>
      </w:pPr>
      <w:r>
        <w:rPr>
          <w:rFonts w:hint="eastAsia" w:cs="Arial"/>
          <w:bCs/>
          <w:iCs/>
          <w:szCs w:val="24"/>
        </w:rPr>
        <w:t>经费报销</w:t>
      </w:r>
    </w:p>
    <w:p w14:paraId="415771BC">
      <w:pPr>
        <w:pStyle w:val="4"/>
        <w:ind w:firstLine="480"/>
      </w:pPr>
      <w:r>
        <w:rPr>
          <w:rFonts w:hint="eastAsia"/>
        </w:rPr>
        <w:t>系统能对每个项目进行经费支出登记，支出的财务科目可以根据不同的项目来源进行设置。同时可以根据医院管理需求，支出和预算进行绑定，</w:t>
      </w:r>
      <w:r>
        <w:rPr>
          <w:rFonts w:hint="eastAsia" w:ascii="宋体" w:hAnsi="宋体" w:cs="Arial"/>
          <w:bCs/>
          <w:iCs/>
        </w:rPr>
        <w:t>提供单项和总额经费超支提醒或超支不能提交报销功</w:t>
      </w:r>
      <w:r>
        <w:rPr>
          <w:rFonts w:hint="eastAsia" w:cs="Arial"/>
          <w:bCs/>
          <w:iCs/>
        </w:rPr>
        <w:t>能</w:t>
      </w:r>
      <w:r>
        <w:rPr>
          <w:rFonts w:hint="eastAsia"/>
        </w:rPr>
        <w:t>。提供论文费用支出审批、外出参会会议费用审批等管理。</w:t>
      </w:r>
    </w:p>
    <w:p w14:paraId="52B31A67">
      <w:pPr>
        <w:pStyle w:val="31"/>
        <w:numPr>
          <w:ilvl w:val="0"/>
          <w:numId w:val="6"/>
        </w:numPr>
        <w:ind w:firstLineChars="0"/>
        <w:rPr>
          <w:rFonts w:cs="Arial"/>
          <w:bCs/>
          <w:iCs/>
          <w:szCs w:val="24"/>
        </w:rPr>
      </w:pPr>
      <w:r>
        <w:rPr>
          <w:rFonts w:cs="Arial"/>
          <w:bCs/>
          <w:iCs/>
          <w:szCs w:val="24"/>
        </w:rPr>
        <w:t>经费汇总</w:t>
      </w:r>
    </w:p>
    <w:p w14:paraId="3C08CAD8">
      <w:pPr>
        <w:pStyle w:val="4"/>
        <w:ind w:firstLine="480"/>
      </w:pPr>
      <w:r>
        <w:rPr>
          <w:rFonts w:hint="eastAsia"/>
        </w:rPr>
        <w:t>提供全院课题经费汇总表，显示课题的经费总预算、已下拨经费、未下拨经费、已使用经费、经费余额等信息。</w:t>
      </w:r>
    </w:p>
    <w:p w14:paraId="385A89C0">
      <w:pPr>
        <w:pStyle w:val="31"/>
        <w:numPr>
          <w:ilvl w:val="0"/>
          <w:numId w:val="6"/>
        </w:numPr>
        <w:ind w:firstLineChars="0"/>
        <w:rPr>
          <w:rFonts w:cs="Arial"/>
          <w:bCs/>
          <w:iCs/>
          <w:szCs w:val="24"/>
        </w:rPr>
      </w:pPr>
      <w:r>
        <w:rPr>
          <w:rFonts w:cs="Arial"/>
          <w:bCs/>
          <w:iCs/>
          <w:szCs w:val="24"/>
        </w:rPr>
        <w:t>经费打印</w:t>
      </w:r>
    </w:p>
    <w:p w14:paraId="046356F5">
      <w:pPr>
        <w:pStyle w:val="4"/>
        <w:ind w:firstLine="480"/>
      </w:pPr>
      <w:r>
        <w:rPr>
          <w:rFonts w:hint="eastAsia"/>
        </w:rPr>
        <w:t>可自定义设计财务报销规定的支出审批表、课题经费本和课题收支明细表，支出审批表部分签名可由系统自动加载签名图，支持各类表单可打印输出。</w:t>
      </w:r>
    </w:p>
    <w:p w14:paraId="720B9E10">
      <w:pPr>
        <w:pStyle w:val="5"/>
        <w:rPr>
          <w:rFonts w:ascii="Calibri" w:hAnsi="Calibri"/>
          <w:kern w:val="44"/>
        </w:rPr>
      </w:pPr>
      <w:r>
        <w:rPr>
          <w:rFonts w:hint="eastAsia" w:ascii="Calibri" w:hAnsi="Calibri"/>
          <w:kern w:val="44"/>
        </w:rPr>
        <w:t>科研任务管理</w:t>
      </w:r>
    </w:p>
    <w:p w14:paraId="42BBBA55">
      <w:pPr>
        <w:pStyle w:val="31"/>
        <w:numPr>
          <w:ilvl w:val="0"/>
          <w:numId w:val="7"/>
        </w:numPr>
        <w:ind w:firstLineChars="0"/>
        <w:rPr>
          <w:rFonts w:cs="Arial"/>
          <w:bCs/>
          <w:iCs/>
          <w:szCs w:val="24"/>
        </w:rPr>
      </w:pPr>
      <w:r>
        <w:rPr>
          <w:rFonts w:hint="eastAsia" w:cs="Arial"/>
          <w:bCs/>
          <w:iCs/>
          <w:szCs w:val="24"/>
        </w:rPr>
        <w:t>可对科研各阶段发起任务管理</w:t>
      </w:r>
    </w:p>
    <w:p w14:paraId="36E825B9">
      <w:pPr>
        <w:pStyle w:val="31"/>
        <w:numPr>
          <w:ilvl w:val="0"/>
          <w:numId w:val="7"/>
        </w:numPr>
        <w:ind w:firstLineChars="0"/>
        <w:rPr>
          <w:rFonts w:cs="Arial"/>
          <w:bCs/>
          <w:iCs/>
          <w:szCs w:val="24"/>
        </w:rPr>
      </w:pPr>
      <w:r>
        <w:rPr>
          <w:rFonts w:hint="eastAsia" w:cs="Arial"/>
          <w:bCs/>
          <w:iCs/>
          <w:szCs w:val="24"/>
        </w:rPr>
        <w:t>管理部门可以方便地安排任务（交办），如：经费领取、实验成果提交、科研成果提交、结题和验收等。可指定课题总负责人按时间节点处理。课题总负责人收到交办的任务后，进行工作的组织（承办），并随时可方便地向科教科交办人（领导）进行进程汇报。</w:t>
      </w:r>
    </w:p>
    <w:p w14:paraId="02FBF1B1">
      <w:pPr>
        <w:pStyle w:val="31"/>
        <w:numPr>
          <w:ilvl w:val="0"/>
          <w:numId w:val="7"/>
        </w:numPr>
        <w:ind w:firstLineChars="0"/>
        <w:rPr>
          <w:rFonts w:cs="Arial"/>
          <w:bCs/>
          <w:iCs/>
          <w:szCs w:val="24"/>
        </w:rPr>
      </w:pPr>
      <w:r>
        <w:rPr>
          <w:rFonts w:hint="eastAsia" w:cs="Arial"/>
          <w:bCs/>
          <w:iCs/>
          <w:szCs w:val="24"/>
        </w:rPr>
        <w:t>任务中需支持添加多层级子项目，而每级子项目中又可以安排实际承办人，时间节点，工作内容等，支持所有课题相关人员。</w:t>
      </w:r>
    </w:p>
    <w:p w14:paraId="1673D1B8">
      <w:pPr>
        <w:pStyle w:val="31"/>
        <w:numPr>
          <w:ilvl w:val="0"/>
          <w:numId w:val="7"/>
        </w:numPr>
        <w:ind w:firstLineChars="0"/>
        <w:rPr>
          <w:rFonts w:cs="Arial"/>
          <w:bCs/>
          <w:iCs/>
          <w:szCs w:val="24"/>
        </w:rPr>
      </w:pPr>
      <w:r>
        <w:rPr>
          <w:rFonts w:hint="eastAsia" w:cs="Arial"/>
          <w:bCs/>
          <w:iCs/>
          <w:szCs w:val="24"/>
        </w:rPr>
        <w:t>所有课题支持卡片式台账查询功能，令科教科或管理者一目了然任务进度是否按时完成。</w:t>
      </w:r>
    </w:p>
    <w:p w14:paraId="74413F15">
      <w:pPr>
        <w:pStyle w:val="5"/>
      </w:pPr>
      <w:r>
        <w:t>进度管理</w:t>
      </w:r>
    </w:p>
    <w:p w14:paraId="061E052A">
      <w:pPr>
        <w:pStyle w:val="4"/>
        <w:ind w:firstLine="480"/>
      </w:pPr>
      <w:r>
        <w:rPr>
          <w:rFonts w:hint="eastAsia"/>
        </w:rPr>
        <w:t>实现项目管理过程中发生的中期检查、项目变更延期管理。中检报告包括成员、文档、成果、经费等指标，其中项目成果科研通过科研成果管理模块从成果数据库导入。</w:t>
      </w:r>
    </w:p>
    <w:p w14:paraId="48B8CB8A">
      <w:pPr>
        <w:pStyle w:val="4"/>
        <w:ind w:firstLine="480"/>
      </w:pPr>
      <w:r>
        <w:rPr>
          <w:rFonts w:hint="eastAsia"/>
        </w:rPr>
        <w:t>系统允许按科研主管部门要求设定不同类别的提醒，如通过系统通知到科研人员进入系统提交中检或结题报告及时进行提醒。对于项目执行过程中发生的变更或延期，可通过系统发起变更或延期申请。</w:t>
      </w:r>
    </w:p>
    <w:p w14:paraId="74653835">
      <w:pPr>
        <w:pStyle w:val="5"/>
      </w:pPr>
      <w:r>
        <w:t>衍生成果管理</w:t>
      </w:r>
    </w:p>
    <w:p w14:paraId="6A2A499B">
      <w:pPr>
        <w:pStyle w:val="4"/>
        <w:ind w:firstLine="480"/>
      </w:pPr>
      <w:r>
        <w:rPr>
          <w:rFonts w:hint="eastAsia"/>
        </w:rPr>
        <w:t>详尽记录每个课题所产生的论文、学术著作、成果、专利等信息。</w:t>
      </w:r>
    </w:p>
    <w:p w14:paraId="73569EFD">
      <w:pPr>
        <w:pStyle w:val="5"/>
      </w:pPr>
      <w:r>
        <w:rPr>
          <w:rFonts w:hint="eastAsia"/>
        </w:rPr>
        <w:t>纵向课题项目</w:t>
      </w:r>
    </w:p>
    <w:p w14:paraId="5D1E4E63">
      <w:pPr>
        <w:pStyle w:val="31"/>
        <w:numPr>
          <w:ilvl w:val="0"/>
          <w:numId w:val="8"/>
        </w:numPr>
        <w:tabs>
          <w:tab w:val="left" w:pos="-142"/>
        </w:tabs>
        <w:ind w:firstLineChars="0"/>
      </w:pPr>
      <w:r>
        <w:rPr>
          <w:rFonts w:hint="eastAsia" w:cs="Arial"/>
          <w:bCs/>
          <w:iCs/>
          <w:szCs w:val="24"/>
        </w:rPr>
        <w:t>项目立项：</w:t>
      </w:r>
      <w:r>
        <w:rPr>
          <w:rFonts w:hint="eastAsia"/>
        </w:rPr>
        <w:t>包括立项信息、项目文档、项目预算、预算结余、衍生成果、到账经费、支出经费、外拨经费等信息进行登记管理。</w:t>
      </w:r>
    </w:p>
    <w:p w14:paraId="6EB21D2E">
      <w:pPr>
        <w:pStyle w:val="31"/>
        <w:numPr>
          <w:ilvl w:val="0"/>
          <w:numId w:val="8"/>
        </w:numPr>
        <w:tabs>
          <w:tab w:val="left" w:pos="-142"/>
        </w:tabs>
        <w:ind w:firstLineChars="0"/>
        <w:rPr>
          <w:rFonts w:cs="Arial"/>
          <w:bCs/>
          <w:iCs/>
          <w:szCs w:val="24"/>
        </w:rPr>
      </w:pPr>
      <w:r>
        <w:rPr>
          <w:rFonts w:hint="eastAsia" w:cs="Arial"/>
          <w:bCs/>
          <w:iCs/>
          <w:szCs w:val="24"/>
        </w:rPr>
        <w:t>数据导入：提供表格导入方式集中导入纵向课题数据，通过字段匹配的方式，可将表格数据完整导入至纵向课题项目中进行集中管理。</w:t>
      </w:r>
    </w:p>
    <w:p w14:paraId="42165929">
      <w:pPr>
        <w:pStyle w:val="31"/>
        <w:numPr>
          <w:ilvl w:val="0"/>
          <w:numId w:val="8"/>
        </w:numPr>
        <w:tabs>
          <w:tab w:val="left" w:pos="-142"/>
        </w:tabs>
        <w:ind w:firstLineChars="0"/>
        <w:rPr>
          <w:rFonts w:cs="Arial"/>
          <w:bCs/>
          <w:iCs/>
          <w:szCs w:val="24"/>
        </w:rPr>
      </w:pPr>
      <w:r>
        <w:rPr>
          <w:rFonts w:hint="eastAsia" w:cs="Arial"/>
          <w:bCs/>
          <w:iCs/>
          <w:szCs w:val="24"/>
        </w:rPr>
        <w:t>项目变更：项目管理员对变更申请审查后，批准变更，系统会自动记录所有变更的内容。</w:t>
      </w:r>
    </w:p>
    <w:p w14:paraId="6E673FA6">
      <w:pPr>
        <w:pStyle w:val="31"/>
        <w:numPr>
          <w:ilvl w:val="0"/>
          <w:numId w:val="8"/>
        </w:numPr>
        <w:tabs>
          <w:tab w:val="left" w:pos="-142"/>
        </w:tabs>
        <w:ind w:firstLineChars="0"/>
        <w:rPr>
          <w:rFonts w:cs="Arial"/>
          <w:bCs/>
          <w:iCs/>
          <w:szCs w:val="24"/>
        </w:rPr>
      </w:pPr>
      <w:r>
        <w:rPr>
          <w:rFonts w:hint="eastAsia" w:cs="Arial"/>
          <w:bCs/>
          <w:iCs/>
          <w:szCs w:val="24"/>
        </w:rPr>
        <w:t>项目中检：根据项目进展情况，项目管理员可以对项目组织中期检查。</w:t>
      </w:r>
    </w:p>
    <w:p w14:paraId="0A01C7A2">
      <w:pPr>
        <w:pStyle w:val="31"/>
        <w:numPr>
          <w:ilvl w:val="0"/>
          <w:numId w:val="8"/>
        </w:numPr>
        <w:tabs>
          <w:tab w:val="left" w:pos="-142"/>
        </w:tabs>
        <w:ind w:firstLineChars="0"/>
        <w:rPr>
          <w:rFonts w:cs="Arial"/>
          <w:bCs/>
          <w:iCs/>
          <w:szCs w:val="24"/>
        </w:rPr>
      </w:pPr>
      <w:r>
        <w:rPr>
          <w:rFonts w:hint="eastAsia" w:cs="Arial"/>
          <w:bCs/>
          <w:iCs/>
          <w:szCs w:val="24"/>
        </w:rPr>
        <w:t>系统管理员可针对中检项目对项目相关负责人发送预警信息，提醒项目负责人进行中检。</w:t>
      </w:r>
    </w:p>
    <w:p w14:paraId="01543CF1">
      <w:pPr>
        <w:pStyle w:val="5"/>
      </w:pPr>
      <w:r>
        <w:rPr>
          <w:rFonts w:hint="eastAsia"/>
        </w:rPr>
        <w:t>横向课题项目</w:t>
      </w:r>
    </w:p>
    <w:p w14:paraId="17B287AD">
      <w:pPr>
        <w:pStyle w:val="4"/>
        <w:ind w:firstLine="480"/>
      </w:pPr>
      <w:r>
        <w:rPr>
          <w:rFonts w:hint="eastAsia"/>
        </w:rPr>
        <w:t>合同管理：包括合同信息、项目文档、衍生成果、到账经费、支出经费、外拨经费等信息。</w:t>
      </w:r>
    </w:p>
    <w:p w14:paraId="370BAC13">
      <w:pPr>
        <w:pStyle w:val="3"/>
        <w:rPr>
          <w:color w:val="auto"/>
        </w:rPr>
      </w:pPr>
      <w:bookmarkStart w:id="12" w:name="_Toc150260623"/>
      <w:bookmarkStart w:id="13" w:name="_Toc13123"/>
      <w:r>
        <w:rPr>
          <w:rFonts w:hint="eastAsia"/>
          <w:color w:val="auto"/>
        </w:rPr>
        <w:t>▲伦理管理</w:t>
      </w:r>
      <w:bookmarkEnd w:id="12"/>
      <w:bookmarkEnd w:id="13"/>
    </w:p>
    <w:p w14:paraId="55D52B08">
      <w:pPr>
        <w:spacing w:after="156" w:afterLines="50"/>
        <w:ind w:firstLine="566" w:firstLineChars="236"/>
      </w:pPr>
      <w:r>
        <w:rPr>
          <w:rFonts w:hint="eastAsia" w:ascii="宋体" w:hAnsi="宋体" w:cs="Arial"/>
        </w:rPr>
        <w:t>系统提供伦理管理功能，当课题涉及伦理事项，需要知会伦理委员会进行项目评审的。可以在系统发起相关的评审流程，包括人体器官移植伦理、生殖医学伦理、实验动物福利伦理、药物临床试验伦理审查、医学研究伦理审查、规范管理等，支持院内专家在系统内进行评审。</w:t>
      </w:r>
    </w:p>
    <w:p w14:paraId="6DE0B70F">
      <w:pPr>
        <w:pStyle w:val="3"/>
        <w:rPr>
          <w:color w:val="auto"/>
        </w:rPr>
      </w:pPr>
      <w:r>
        <w:rPr>
          <w:rFonts w:hint="eastAsia"/>
          <w:color w:val="auto"/>
        </w:rPr>
        <w:t>论文管理</w:t>
      </w:r>
    </w:p>
    <w:p w14:paraId="60DB9C87">
      <w:pPr>
        <w:pStyle w:val="5"/>
      </w:pPr>
      <w:r>
        <w:rPr>
          <w:rFonts w:hint="eastAsia"/>
        </w:rPr>
        <w:t>论文投稿</w:t>
      </w:r>
    </w:p>
    <w:p w14:paraId="6410DE67">
      <w:pPr>
        <w:pStyle w:val="4"/>
        <w:ind w:firstLine="480"/>
      </w:pPr>
      <w:r>
        <w:rPr>
          <w:rFonts w:hint="eastAsia"/>
        </w:rPr>
        <w:t>在发表论文之前先由科研人员做论文投稿申请，论文作者通过系统在线提交“论文投稿”申请，自动流转到导师、科室负责人、伦理委员会、科研部等部门进行审核。审核流程可以根据医院的实际情况，自由定义和调整，流程完全图形化定义、跟踪。</w:t>
      </w:r>
    </w:p>
    <w:p w14:paraId="7630FCD1">
      <w:pPr>
        <w:pStyle w:val="4"/>
        <w:ind w:firstLine="480"/>
      </w:pPr>
      <w:r>
        <w:rPr>
          <w:rFonts w:hint="eastAsia"/>
        </w:rPr>
        <w:t>经科研处审核通过以后可以自动生成介绍信并打印，再以单位的名义进行论文发表。</w:t>
      </w:r>
    </w:p>
    <w:p w14:paraId="505FD13D">
      <w:pPr>
        <w:pStyle w:val="5"/>
      </w:pPr>
      <w:r>
        <w:rPr>
          <w:rFonts w:hint="eastAsia"/>
        </w:rPr>
        <w:t>论文发表</w:t>
      </w:r>
    </w:p>
    <w:p w14:paraId="06EAFFFC">
      <w:pPr>
        <w:pStyle w:val="4"/>
        <w:ind w:firstLine="480"/>
      </w:pPr>
      <w:r>
        <w:rPr>
          <w:rFonts w:hint="eastAsia"/>
        </w:rPr>
        <w:t>论文成果医院可以根据期刊源库定义期刊级别，对论文进行分级划分管理。论文管理包括基本信息、论文作者（第一作者、共同第一、通讯作者、共同通讯、第二作者、第三作者）转载情况、收录情况和依托项目的管理。</w:t>
      </w:r>
    </w:p>
    <w:p w14:paraId="006B0C77">
      <w:pPr>
        <w:pStyle w:val="3"/>
        <w:rPr>
          <w:color w:val="auto"/>
        </w:rPr>
      </w:pPr>
      <w:r>
        <w:rPr>
          <w:rFonts w:hint="eastAsia"/>
          <w:color w:val="auto"/>
        </w:rPr>
        <w:t>学术著作</w:t>
      </w:r>
    </w:p>
    <w:p w14:paraId="25C9E143">
      <w:pPr>
        <w:pStyle w:val="4"/>
        <w:ind w:firstLine="480"/>
      </w:pPr>
      <w:r>
        <w:rPr>
          <w:rFonts w:hint="eastAsia"/>
        </w:rPr>
        <w:t>著作成果信息包括基本信息和依托项目两部分。著作成果的管理包括受理过程管理、统计汇总功能等。</w:t>
      </w:r>
    </w:p>
    <w:p w14:paraId="4CD38B60">
      <w:pPr>
        <w:pStyle w:val="4"/>
        <w:ind w:firstLine="480"/>
      </w:pPr>
      <w:r>
        <w:rPr>
          <w:rFonts w:hint="eastAsia"/>
        </w:rPr>
        <w:t>作者在线提交著作信息，科研管理人员进行审核确认。</w:t>
      </w:r>
    </w:p>
    <w:p w14:paraId="6A96C484">
      <w:pPr>
        <w:pStyle w:val="3"/>
        <w:rPr>
          <w:color w:val="auto"/>
        </w:rPr>
      </w:pPr>
      <w:r>
        <w:rPr>
          <w:color w:val="auto"/>
        </w:rPr>
        <w:t>成果验收</w:t>
      </w:r>
    </w:p>
    <w:p w14:paraId="34FDEDFF">
      <w:pPr>
        <w:pStyle w:val="4"/>
        <w:ind w:firstLine="480"/>
      </w:pPr>
      <w:r>
        <w:rPr>
          <w:rFonts w:hint="eastAsia"/>
        </w:rPr>
        <w:t>课题完成并通过验收后，及时将取得的科研成果登记到系统。</w:t>
      </w:r>
    </w:p>
    <w:p w14:paraId="0CA014A6">
      <w:pPr>
        <w:pStyle w:val="4"/>
        <w:ind w:firstLine="480"/>
      </w:pPr>
      <w:r>
        <w:rPr>
          <w:rFonts w:hint="eastAsia"/>
        </w:rPr>
        <w:t>科研人员在线提交成果信息，由科研管理人员进行审核确认。提供完善的权限控制，科研人员只能查看自己的成果，科研管理人员可以查看、并全权操作所有成果验收信息。</w:t>
      </w:r>
    </w:p>
    <w:p w14:paraId="7444E2F1">
      <w:pPr>
        <w:pStyle w:val="3"/>
        <w:rPr>
          <w:color w:val="auto"/>
        </w:rPr>
      </w:pPr>
      <w:r>
        <w:rPr>
          <w:color w:val="auto"/>
        </w:rPr>
        <w:t>成果获奖</w:t>
      </w:r>
    </w:p>
    <w:p w14:paraId="11C33210">
      <w:pPr>
        <w:pStyle w:val="4"/>
        <w:ind w:firstLine="480"/>
      </w:pPr>
      <w:r>
        <w:rPr>
          <w:rFonts w:hint="eastAsia"/>
        </w:rPr>
        <w:t>科研成果信息的录入和审核，可提供多条件组合检索，可录入信息包括：成果奖励名称、奖励类别奖励级别、奖励等级、评奖单位、发证日期、附件上传等。</w:t>
      </w:r>
    </w:p>
    <w:p w14:paraId="086442B1">
      <w:pPr>
        <w:pStyle w:val="3"/>
        <w:rPr>
          <w:color w:val="auto"/>
        </w:rPr>
      </w:pPr>
      <w:r>
        <w:rPr>
          <w:rFonts w:hint="eastAsia"/>
          <w:color w:val="auto"/>
        </w:rPr>
        <w:t>成果转化</w:t>
      </w:r>
    </w:p>
    <w:p w14:paraId="095F4098">
      <w:pPr>
        <w:pStyle w:val="4"/>
        <w:ind w:firstLine="480"/>
      </w:pPr>
      <w:r>
        <w:rPr>
          <w:rFonts w:hint="eastAsia"/>
        </w:rPr>
        <w:t>科研成果通过合作开发、技术转让等方式实现了成果转化后，科研人员及时录入相关信息，提交科研管理人员审核确认。</w:t>
      </w:r>
    </w:p>
    <w:p w14:paraId="263DB4DA">
      <w:pPr>
        <w:pStyle w:val="4"/>
        <w:ind w:firstLine="480"/>
      </w:pPr>
      <w:r>
        <w:rPr>
          <w:rFonts w:hint="eastAsia"/>
        </w:rPr>
        <w:t>提供完善的权限控制，科研人员只能查看自己相关的成果转化信息，科研管理人员可以查看、并全权操作所有成果转化信息。</w:t>
      </w:r>
    </w:p>
    <w:p w14:paraId="284FDA6D">
      <w:pPr>
        <w:pStyle w:val="3"/>
        <w:rPr>
          <w:color w:val="auto"/>
        </w:rPr>
      </w:pPr>
      <w:r>
        <w:rPr>
          <w:rFonts w:hint="eastAsia"/>
          <w:color w:val="auto"/>
        </w:rPr>
        <w:t>专利管理</w:t>
      </w:r>
    </w:p>
    <w:p w14:paraId="1A7B492A">
      <w:pPr>
        <w:pStyle w:val="4"/>
        <w:ind w:firstLine="480"/>
      </w:pPr>
      <w:r>
        <w:rPr>
          <w:rFonts w:hint="eastAsia"/>
        </w:rPr>
        <w:t>科研成果申请专利、或者专利获得授权时，科研人员及时录入相关信息，并提交科研管理人员审核确认。</w:t>
      </w:r>
    </w:p>
    <w:p w14:paraId="06B28144">
      <w:pPr>
        <w:pStyle w:val="31"/>
        <w:numPr>
          <w:ilvl w:val="0"/>
          <w:numId w:val="9"/>
        </w:numPr>
        <w:tabs>
          <w:tab w:val="left" w:pos="-142"/>
          <w:tab w:val="clear" w:pos="846"/>
        </w:tabs>
        <w:ind w:left="0" w:firstLine="476" w:firstLineChars="0"/>
        <w:rPr>
          <w:rFonts w:cs="Arial"/>
          <w:bCs/>
          <w:iCs/>
          <w:szCs w:val="24"/>
        </w:rPr>
      </w:pPr>
      <w:r>
        <w:rPr>
          <w:rFonts w:hint="eastAsia" w:cs="Arial"/>
          <w:bCs/>
          <w:iCs/>
          <w:szCs w:val="24"/>
        </w:rPr>
        <w:t>专利成果信息需包括基本信息、专利作者和依托课题。</w:t>
      </w:r>
    </w:p>
    <w:p w14:paraId="0915B93D">
      <w:pPr>
        <w:pStyle w:val="31"/>
        <w:numPr>
          <w:ilvl w:val="0"/>
          <w:numId w:val="9"/>
        </w:numPr>
        <w:tabs>
          <w:tab w:val="left" w:pos="-142"/>
          <w:tab w:val="clear" w:pos="846"/>
        </w:tabs>
        <w:ind w:left="0" w:firstLine="476" w:firstLineChars="0"/>
        <w:rPr>
          <w:rFonts w:cs="Arial"/>
          <w:bCs/>
          <w:iCs/>
          <w:szCs w:val="24"/>
        </w:rPr>
      </w:pPr>
      <w:r>
        <w:rPr>
          <w:rFonts w:hint="eastAsia" w:cs="Arial"/>
          <w:bCs/>
          <w:iCs/>
          <w:szCs w:val="24"/>
        </w:rPr>
        <w:t>提供申请专利的登记和备案管理及获得专利后相关信息的录入和审核管理。</w:t>
      </w:r>
    </w:p>
    <w:p w14:paraId="21702118">
      <w:pPr>
        <w:pStyle w:val="3"/>
        <w:rPr>
          <w:color w:val="auto"/>
        </w:rPr>
      </w:pPr>
      <w:r>
        <w:rPr>
          <w:rFonts w:hint="eastAsia"/>
          <w:color w:val="auto"/>
        </w:rPr>
        <w:t>奖励金发放</w:t>
      </w:r>
    </w:p>
    <w:p w14:paraId="65B25794">
      <w:pPr>
        <w:pStyle w:val="4"/>
        <w:ind w:firstLine="480"/>
        <w:rPr>
          <w:rFonts w:cs="Arial"/>
          <w:bCs/>
          <w:iCs/>
        </w:rPr>
      </w:pPr>
      <w:r>
        <w:rPr>
          <w:rFonts w:hint="eastAsia" w:cs="Arial"/>
          <w:bCs/>
          <w:iCs/>
        </w:rPr>
        <w:t>奖励金包括：课题中标奖、课题津贴、发表论文后奖励、出版学术著作后奖励、申报成果后奖励、成果获奖后奖励、获得专利后奖励等类别。科研管理员按照规章制度计算奖金金额，并发起一条审批流程，经过相关人员审批后由财务发放。</w:t>
      </w:r>
    </w:p>
    <w:p w14:paraId="05D6BC02">
      <w:pPr>
        <w:pStyle w:val="3"/>
        <w:rPr>
          <w:color w:val="auto"/>
        </w:rPr>
      </w:pPr>
      <w:r>
        <w:rPr>
          <w:rFonts w:hint="eastAsia"/>
          <w:color w:val="auto"/>
        </w:rPr>
        <w:t>科室科研中心</w:t>
      </w:r>
    </w:p>
    <w:p w14:paraId="19F75A24">
      <w:pPr>
        <w:pStyle w:val="4"/>
        <w:ind w:firstLine="480"/>
        <w:rPr>
          <w:rFonts w:cs="Arial"/>
          <w:bCs/>
          <w:iCs/>
        </w:rPr>
      </w:pPr>
      <w:r>
        <w:rPr>
          <w:rFonts w:hint="eastAsia" w:cs="Arial"/>
          <w:bCs/>
          <w:iCs/>
        </w:rPr>
        <w:t>科室负责人登录系统后，在一个页面即可查询本科室所有员工的课题、论文、学术著作成果验收、成果获奖、成果转化、专利等所有科研信息。</w:t>
      </w:r>
    </w:p>
    <w:p w14:paraId="4149E082">
      <w:pPr>
        <w:pStyle w:val="3"/>
        <w:ind w:left="992"/>
        <w:rPr>
          <w:color w:val="auto"/>
        </w:rPr>
      </w:pPr>
      <w:r>
        <w:rPr>
          <w:rFonts w:hint="eastAsia"/>
          <w:color w:val="auto"/>
        </w:rPr>
        <w:t>统计分析</w:t>
      </w:r>
    </w:p>
    <w:p w14:paraId="4A36B55D">
      <w:pPr>
        <w:pStyle w:val="4"/>
        <w:ind w:firstLine="480"/>
      </w:pPr>
      <w:r>
        <w:rPr>
          <w:rFonts w:hint="eastAsia"/>
        </w:rPr>
        <w:t>可以直观查看项目进度报表、经费使用情况报表、科研成果统计、科研奖励统计等。</w:t>
      </w:r>
    </w:p>
    <w:p w14:paraId="2FD89E55">
      <w:pPr>
        <w:pStyle w:val="3"/>
        <w:rPr>
          <w:color w:val="auto"/>
        </w:rPr>
      </w:pPr>
      <w:r>
        <w:rPr>
          <w:rFonts w:hint="eastAsia"/>
          <w:color w:val="auto"/>
        </w:rPr>
        <w:t>协同办公</w:t>
      </w:r>
    </w:p>
    <w:p w14:paraId="243EEBC9">
      <w:pPr>
        <w:pStyle w:val="31"/>
        <w:numPr>
          <w:ilvl w:val="0"/>
          <w:numId w:val="10"/>
        </w:numPr>
        <w:ind w:firstLineChars="0"/>
        <w:rPr>
          <w:rFonts w:cs="Arial"/>
          <w:bCs/>
          <w:iCs/>
          <w:szCs w:val="24"/>
        </w:rPr>
      </w:pPr>
      <w:r>
        <w:rPr>
          <w:rFonts w:cs="Arial"/>
          <w:bCs/>
          <w:iCs/>
          <w:szCs w:val="24"/>
        </w:rPr>
        <w:t>支持多角色协助（如PI、研究人员、财务、伦理委员）及文档共享。</w:t>
      </w:r>
    </w:p>
    <w:p w14:paraId="1CE84DBF">
      <w:pPr>
        <w:pStyle w:val="31"/>
        <w:numPr>
          <w:ilvl w:val="0"/>
          <w:numId w:val="10"/>
        </w:numPr>
        <w:ind w:firstLineChars="0"/>
        <w:rPr>
          <w:rFonts w:cs="Arial"/>
          <w:bCs/>
          <w:iCs/>
          <w:szCs w:val="24"/>
        </w:rPr>
      </w:pPr>
      <w:r>
        <w:rPr>
          <w:rFonts w:hint="eastAsia" w:cs="Arial"/>
          <w:bCs/>
          <w:iCs/>
          <w:szCs w:val="24"/>
        </w:rPr>
        <w:t>需提供科研知识一览功能，通过知识一览展示最新上传、优秀文档等文档内容。</w:t>
      </w:r>
    </w:p>
    <w:p w14:paraId="16FB560E">
      <w:pPr>
        <w:pStyle w:val="31"/>
        <w:numPr>
          <w:ilvl w:val="0"/>
          <w:numId w:val="10"/>
        </w:numPr>
        <w:ind w:firstLineChars="0"/>
        <w:rPr>
          <w:rFonts w:cs="Arial"/>
          <w:bCs/>
          <w:iCs/>
          <w:szCs w:val="24"/>
        </w:rPr>
      </w:pPr>
      <w:r>
        <w:rPr>
          <w:rFonts w:hint="eastAsia" w:cs="Arial"/>
          <w:bCs/>
          <w:iCs/>
          <w:szCs w:val="24"/>
        </w:rPr>
        <w:t>根据医院科研管理数据汇集有价值的信息，建立分类的知识库，可形成医院科研信息共享，支持科研管理的目的。系统需提供“思维导图”、“报刊式模式”、“地图指引模式”、“功能树模式”等模式帮助医院管理已知的科研知识。</w:t>
      </w:r>
    </w:p>
    <w:p w14:paraId="43211D5E">
      <w:pPr>
        <w:pStyle w:val="3"/>
        <w:rPr>
          <w:color w:val="auto"/>
        </w:rPr>
      </w:pPr>
      <w:r>
        <w:rPr>
          <w:rFonts w:hint="eastAsia"/>
          <w:color w:val="auto"/>
        </w:rPr>
        <w:t>▲流程管理</w:t>
      </w:r>
    </w:p>
    <w:p w14:paraId="68708785">
      <w:pPr>
        <w:pStyle w:val="31"/>
        <w:numPr>
          <w:ilvl w:val="0"/>
          <w:numId w:val="11"/>
        </w:numPr>
        <w:tabs>
          <w:tab w:val="left" w:pos="-142"/>
          <w:tab w:val="clear" w:pos="846"/>
        </w:tabs>
        <w:ind w:left="0" w:firstLine="476" w:firstLineChars="0"/>
        <w:rPr>
          <w:rFonts w:cs="Arial"/>
          <w:bCs/>
          <w:iCs/>
          <w:szCs w:val="24"/>
        </w:rPr>
      </w:pPr>
      <w:r>
        <w:rPr>
          <w:rFonts w:hint="eastAsia" w:cs="Arial"/>
          <w:bCs/>
          <w:iCs/>
          <w:szCs w:val="24"/>
        </w:rPr>
        <w:t>提供B</w:t>
      </w:r>
      <w:r>
        <w:rPr>
          <w:rFonts w:cs="Arial"/>
          <w:bCs/>
          <w:iCs/>
          <w:szCs w:val="24"/>
        </w:rPr>
        <w:t>/S架构</w:t>
      </w:r>
      <w:r>
        <w:rPr>
          <w:rFonts w:hint="eastAsia" w:cs="Arial"/>
          <w:bCs/>
          <w:iCs/>
          <w:szCs w:val="24"/>
        </w:rPr>
        <w:t>基于Web页面图形化的科研流程设计器，可以在</w:t>
      </w:r>
      <w:r>
        <w:rPr>
          <w:rFonts w:cs="Arial"/>
          <w:bCs/>
          <w:iCs/>
          <w:szCs w:val="24"/>
        </w:rPr>
        <w:t>系统</w:t>
      </w:r>
      <w:r>
        <w:rPr>
          <w:rFonts w:hint="eastAsia" w:cs="Arial"/>
          <w:bCs/>
          <w:iCs/>
          <w:szCs w:val="24"/>
        </w:rPr>
        <w:t>Web页面</w:t>
      </w:r>
      <w:r>
        <w:rPr>
          <w:rFonts w:cs="Arial"/>
          <w:bCs/>
          <w:iCs/>
          <w:szCs w:val="24"/>
        </w:rPr>
        <w:t>上</w:t>
      </w:r>
      <w:r>
        <w:rPr>
          <w:rFonts w:hint="eastAsia" w:cs="Arial"/>
          <w:bCs/>
          <w:iCs/>
          <w:szCs w:val="24"/>
        </w:rPr>
        <w:t>根据科研用户实际情况，灵活定义多种科研流程，灵活定义流转路径；支持审批、通知、条件判断、串行、并行、分流、合流、以及子流程等复杂的流程逻辑。</w:t>
      </w:r>
    </w:p>
    <w:p w14:paraId="400BFA7E">
      <w:pPr>
        <w:pStyle w:val="31"/>
        <w:numPr>
          <w:ilvl w:val="0"/>
          <w:numId w:val="11"/>
        </w:numPr>
        <w:tabs>
          <w:tab w:val="left" w:pos="-142"/>
          <w:tab w:val="clear" w:pos="846"/>
        </w:tabs>
        <w:ind w:left="0" w:firstLine="476" w:firstLineChars="0"/>
        <w:rPr>
          <w:rFonts w:cs="Arial"/>
          <w:bCs/>
          <w:iCs/>
          <w:szCs w:val="24"/>
        </w:rPr>
      </w:pPr>
      <w:r>
        <w:rPr>
          <w:rFonts w:hint="eastAsia" w:cs="Arial"/>
          <w:bCs/>
          <w:iCs/>
          <w:szCs w:val="24"/>
        </w:rPr>
        <w:t>提供B</w:t>
      </w:r>
      <w:r>
        <w:rPr>
          <w:rFonts w:cs="Arial"/>
          <w:bCs/>
          <w:iCs/>
          <w:szCs w:val="24"/>
        </w:rPr>
        <w:t>/S架构</w:t>
      </w:r>
      <w:r>
        <w:rPr>
          <w:rFonts w:hint="eastAsia" w:cs="Arial"/>
          <w:bCs/>
          <w:iCs/>
          <w:szCs w:val="24"/>
        </w:rPr>
        <w:t>基于Web页面的可视化科研表单设计</w:t>
      </w:r>
      <w:r>
        <w:rPr>
          <w:rFonts w:cs="Arial"/>
          <w:bCs/>
          <w:iCs/>
          <w:szCs w:val="24"/>
        </w:rPr>
        <w:t>工具</w:t>
      </w:r>
      <w:r>
        <w:rPr>
          <w:rFonts w:hint="eastAsia" w:cs="Arial"/>
          <w:bCs/>
          <w:iCs/>
          <w:szCs w:val="24"/>
        </w:rPr>
        <w:t>，并可通过拖拽，点击等方式方便定义表单及其当中的域的各种属性以及表之间的关系；通过所见即所得的表单设计功能，提供向导式表单设计过程和图形化流程设计定义，用户可以完全自定义实际应用的移动视图、Web视图</w:t>
      </w:r>
      <w:r>
        <w:rPr>
          <w:rFonts w:cs="Arial"/>
          <w:bCs/>
          <w:iCs/>
          <w:szCs w:val="24"/>
        </w:rPr>
        <w:t>、打印视图</w:t>
      </w:r>
      <w:r>
        <w:rPr>
          <w:rFonts w:hint="eastAsia" w:cs="Arial"/>
          <w:bCs/>
          <w:iCs/>
          <w:szCs w:val="24"/>
        </w:rPr>
        <w:t>、表单的数据属性、表单的编辑及</w:t>
      </w:r>
      <w:r>
        <w:rPr>
          <w:rFonts w:cs="Arial"/>
          <w:bCs/>
          <w:iCs/>
          <w:szCs w:val="24"/>
        </w:rPr>
        <w:t>使用</w:t>
      </w:r>
      <w:r>
        <w:rPr>
          <w:rFonts w:hint="eastAsia" w:cs="Arial"/>
          <w:bCs/>
          <w:iCs/>
          <w:szCs w:val="24"/>
        </w:rPr>
        <w:t>权限等功能。</w:t>
      </w:r>
    </w:p>
    <w:p w14:paraId="2695934F">
      <w:pPr>
        <w:pStyle w:val="31"/>
        <w:numPr>
          <w:ilvl w:val="0"/>
          <w:numId w:val="11"/>
        </w:numPr>
        <w:tabs>
          <w:tab w:val="left" w:pos="-142"/>
          <w:tab w:val="clear" w:pos="846"/>
        </w:tabs>
        <w:ind w:left="0" w:firstLine="476" w:firstLineChars="0"/>
        <w:rPr>
          <w:rFonts w:cs="Arial"/>
          <w:bCs/>
          <w:iCs/>
          <w:szCs w:val="24"/>
        </w:rPr>
      </w:pPr>
      <w:r>
        <w:rPr>
          <w:rFonts w:hint="eastAsia" w:cs="Arial"/>
          <w:bCs/>
          <w:iCs/>
          <w:szCs w:val="24"/>
        </w:rPr>
        <w:t>提供B</w:t>
      </w:r>
      <w:r>
        <w:rPr>
          <w:rFonts w:cs="Arial"/>
          <w:bCs/>
          <w:iCs/>
          <w:szCs w:val="24"/>
        </w:rPr>
        <w:t>/S架构</w:t>
      </w:r>
      <w:r>
        <w:rPr>
          <w:rFonts w:hint="eastAsia" w:cs="Arial"/>
          <w:bCs/>
          <w:iCs/>
          <w:szCs w:val="24"/>
        </w:rPr>
        <w:t>自定义报表工具，包括科研报表运行（运行设计好的报表）、科研报表设计。通过自定义报表系统，我院可以根据实际需要，自由地、灵活地生成各种科研报表，根据领导关心业务状况，进行数据整合，通过图表进行显示。</w:t>
      </w:r>
    </w:p>
    <w:p w14:paraId="534107E1">
      <w:pPr>
        <w:pStyle w:val="31"/>
        <w:numPr>
          <w:ilvl w:val="0"/>
          <w:numId w:val="11"/>
        </w:numPr>
        <w:tabs>
          <w:tab w:val="left" w:pos="-142"/>
          <w:tab w:val="clear" w:pos="846"/>
        </w:tabs>
        <w:ind w:left="0" w:firstLine="476" w:firstLineChars="0"/>
        <w:rPr>
          <w:rFonts w:cs="Arial"/>
          <w:bCs/>
          <w:iCs/>
          <w:szCs w:val="24"/>
        </w:rPr>
      </w:pPr>
      <w:r>
        <w:rPr>
          <w:rFonts w:hint="eastAsia" w:cs="Arial"/>
          <w:bCs/>
          <w:iCs/>
          <w:szCs w:val="24"/>
        </w:rPr>
        <w:t>以上系统</w:t>
      </w:r>
      <w:r>
        <w:rPr>
          <w:rFonts w:cs="Arial"/>
          <w:bCs/>
          <w:iCs/>
          <w:szCs w:val="24"/>
        </w:rPr>
        <w:t>设计工具需要有完全的自主知识产权证明，无需第三方控件</w:t>
      </w:r>
      <w:r>
        <w:rPr>
          <w:rFonts w:hint="eastAsia" w:cs="Arial"/>
          <w:bCs/>
          <w:iCs/>
          <w:szCs w:val="24"/>
        </w:rPr>
        <w:t>实现</w:t>
      </w:r>
      <w:r>
        <w:rPr>
          <w:rFonts w:cs="Arial"/>
          <w:bCs/>
          <w:iCs/>
          <w:szCs w:val="24"/>
        </w:rPr>
        <w:t>。</w:t>
      </w:r>
    </w:p>
    <w:p w14:paraId="00D815D7">
      <w:pPr>
        <w:pStyle w:val="3"/>
        <w:rPr>
          <w:color w:val="auto"/>
        </w:rPr>
      </w:pPr>
      <w:bookmarkStart w:id="14" w:name="_Toc450137347"/>
      <w:r>
        <w:rPr>
          <w:rFonts w:hint="eastAsia"/>
          <w:color w:val="auto"/>
        </w:rPr>
        <w:t>人员管理</w:t>
      </w:r>
    </w:p>
    <w:p w14:paraId="7CCA7713">
      <w:pPr>
        <w:pStyle w:val="5"/>
      </w:pPr>
      <w:r>
        <w:rPr>
          <w:rFonts w:hint="eastAsia"/>
        </w:rPr>
        <w:t>科研人员人才库</w:t>
      </w:r>
    </w:p>
    <w:p w14:paraId="7E4706EA">
      <w:pPr>
        <w:pStyle w:val="31"/>
        <w:numPr>
          <w:ilvl w:val="0"/>
          <w:numId w:val="12"/>
        </w:numPr>
        <w:tabs>
          <w:tab w:val="left" w:pos="-142"/>
        </w:tabs>
        <w:ind w:firstLineChars="0"/>
        <w:rPr>
          <w:rFonts w:cs="Arial"/>
          <w:bCs/>
          <w:iCs/>
          <w:szCs w:val="24"/>
        </w:rPr>
      </w:pPr>
      <w:r>
        <w:rPr>
          <w:rFonts w:hint="eastAsia" w:cs="Arial"/>
          <w:bCs/>
          <w:iCs/>
          <w:szCs w:val="24"/>
        </w:rPr>
        <w:t>可对系统的人员档案信息进行录入、审核、编辑、查询、单个员工简历汇总显示及导出功能。</w:t>
      </w:r>
    </w:p>
    <w:p w14:paraId="05E143DC">
      <w:pPr>
        <w:pStyle w:val="31"/>
        <w:numPr>
          <w:ilvl w:val="0"/>
          <w:numId w:val="12"/>
        </w:numPr>
        <w:tabs>
          <w:tab w:val="left" w:pos="-142"/>
        </w:tabs>
        <w:ind w:firstLineChars="0"/>
        <w:rPr>
          <w:rFonts w:cs="Arial"/>
          <w:bCs/>
          <w:iCs/>
          <w:szCs w:val="24"/>
        </w:rPr>
      </w:pPr>
      <w:r>
        <w:rPr>
          <w:rFonts w:hint="eastAsia" w:cs="Arial"/>
          <w:bCs/>
          <w:iCs/>
          <w:szCs w:val="24"/>
        </w:rPr>
        <w:t>在人员列表中，能自动生成相关人员的科研详情表。科研详情可以进一步根据条件进行筛选，并支持导出和打印功能。</w:t>
      </w:r>
    </w:p>
    <w:p w14:paraId="2DF50459">
      <w:pPr>
        <w:pStyle w:val="31"/>
        <w:numPr>
          <w:ilvl w:val="0"/>
          <w:numId w:val="12"/>
        </w:numPr>
        <w:tabs>
          <w:tab w:val="left" w:pos="-142"/>
        </w:tabs>
        <w:ind w:firstLineChars="0"/>
        <w:rPr>
          <w:rFonts w:cs="Arial"/>
          <w:bCs/>
          <w:iCs/>
          <w:szCs w:val="24"/>
        </w:rPr>
      </w:pPr>
      <w:r>
        <w:rPr>
          <w:rFonts w:hint="eastAsia" w:cs="Arial"/>
          <w:bCs/>
          <w:iCs/>
          <w:szCs w:val="24"/>
        </w:rPr>
        <w:t>系统提供了对科研基础数据库提供了查询、导入、导出、数据列表和统计报表等功能。</w:t>
      </w:r>
    </w:p>
    <w:p w14:paraId="2BB4915E">
      <w:pPr>
        <w:pStyle w:val="5"/>
      </w:pPr>
      <w:r>
        <w:rPr>
          <w:rFonts w:hint="eastAsia"/>
        </w:rPr>
        <w:t>专家库管理</w:t>
      </w:r>
    </w:p>
    <w:p w14:paraId="49397E1E">
      <w:pPr>
        <w:pStyle w:val="4"/>
        <w:ind w:firstLine="480"/>
      </w:pPr>
      <w:r>
        <w:rPr>
          <w:rFonts w:hint="eastAsia"/>
        </w:rPr>
        <w:t>专家库信息可由医院自主维护。</w:t>
      </w:r>
    </w:p>
    <w:p w14:paraId="3DA81CDD">
      <w:pPr>
        <w:pStyle w:val="5"/>
      </w:pPr>
      <w:r>
        <w:rPr>
          <w:rFonts w:hint="eastAsia"/>
        </w:rPr>
        <w:t>临聘人员管理</w:t>
      </w:r>
    </w:p>
    <w:p w14:paraId="75682D90">
      <w:pPr>
        <w:pStyle w:val="4"/>
        <w:ind w:firstLine="480"/>
      </w:pPr>
      <w:r>
        <w:rPr>
          <w:rFonts w:hint="eastAsia"/>
        </w:rPr>
        <w:t>临聘人员信息可由医院自主维护和管理。</w:t>
      </w:r>
    </w:p>
    <w:p w14:paraId="38A8E101">
      <w:pPr>
        <w:pStyle w:val="3"/>
        <w:rPr>
          <w:color w:val="auto"/>
        </w:rPr>
      </w:pPr>
      <w:r>
        <w:rPr>
          <w:color w:val="auto"/>
        </w:rPr>
        <w:t>其他管理</w:t>
      </w:r>
    </w:p>
    <w:p w14:paraId="41CCA839">
      <w:pPr>
        <w:pStyle w:val="5"/>
      </w:pPr>
      <w:r>
        <w:t>学术任职</w:t>
      </w:r>
    </w:p>
    <w:p w14:paraId="635E69C6">
      <w:pPr>
        <w:pStyle w:val="4"/>
        <w:ind w:firstLine="480"/>
      </w:pPr>
      <w:r>
        <w:rPr>
          <w:rFonts w:hint="eastAsia"/>
        </w:rPr>
        <w:t>提供学术任职信息的查询、录入，可以接入审核流程。</w:t>
      </w:r>
    </w:p>
    <w:p w14:paraId="380CAD51">
      <w:pPr>
        <w:pStyle w:val="5"/>
      </w:pPr>
      <w:r>
        <w:rPr>
          <w:rFonts w:hint="eastAsia"/>
        </w:rPr>
        <w:t>科研绩效管理</w:t>
      </w:r>
    </w:p>
    <w:p w14:paraId="5961D4D7">
      <w:pPr>
        <w:pStyle w:val="4"/>
        <w:ind w:firstLine="480"/>
      </w:pPr>
      <w:r>
        <w:rPr>
          <w:rFonts w:hint="eastAsia"/>
        </w:rPr>
        <w:t>可根据科研工作量的量化指标和设置岗位考核标准，通过对科研项目、科研成果、科研奖励等信息的综合分析，计算科研人员和科研单位的科研工作量，由系统所设定信息自动进行核算。</w:t>
      </w:r>
    </w:p>
    <w:p w14:paraId="192F22D6">
      <w:pPr>
        <w:pStyle w:val="31"/>
        <w:numPr>
          <w:ilvl w:val="0"/>
          <w:numId w:val="13"/>
        </w:numPr>
        <w:tabs>
          <w:tab w:val="left" w:pos="-142"/>
          <w:tab w:val="clear" w:pos="846"/>
        </w:tabs>
        <w:ind w:left="0" w:firstLine="476" w:firstLineChars="0"/>
        <w:rPr>
          <w:rFonts w:cs="Arial"/>
          <w:bCs/>
          <w:iCs/>
          <w:szCs w:val="24"/>
        </w:rPr>
      </w:pPr>
      <w:r>
        <w:rPr>
          <w:rFonts w:hint="eastAsia" w:cs="Arial"/>
          <w:bCs/>
          <w:iCs/>
          <w:szCs w:val="24"/>
        </w:rPr>
        <w:t>个人绩效</w:t>
      </w:r>
    </w:p>
    <w:p w14:paraId="40582058">
      <w:pPr>
        <w:pStyle w:val="4"/>
        <w:ind w:firstLine="480"/>
      </w:pPr>
      <w:r>
        <w:rPr>
          <w:rFonts w:hint="eastAsia"/>
        </w:rPr>
        <w:t>包括个人科研绩效考核标准维护，制定并对个人考核方案进行配置并形成相关的考核绩效数据管理。</w:t>
      </w:r>
    </w:p>
    <w:p w14:paraId="0FDD9714">
      <w:pPr>
        <w:pStyle w:val="31"/>
        <w:numPr>
          <w:ilvl w:val="0"/>
          <w:numId w:val="13"/>
        </w:numPr>
        <w:tabs>
          <w:tab w:val="left" w:pos="-142"/>
          <w:tab w:val="clear" w:pos="846"/>
        </w:tabs>
        <w:ind w:left="0" w:firstLine="476" w:firstLineChars="0"/>
        <w:rPr>
          <w:rFonts w:cs="Arial"/>
          <w:bCs/>
          <w:iCs/>
          <w:szCs w:val="24"/>
        </w:rPr>
      </w:pPr>
      <w:r>
        <w:rPr>
          <w:rFonts w:hint="eastAsia" w:cs="Arial"/>
          <w:bCs/>
          <w:iCs/>
          <w:szCs w:val="24"/>
        </w:rPr>
        <w:t>科室绩效</w:t>
      </w:r>
    </w:p>
    <w:p w14:paraId="42F99C34">
      <w:pPr>
        <w:pStyle w:val="4"/>
        <w:ind w:firstLine="480"/>
      </w:pPr>
      <w:r>
        <w:rPr>
          <w:rFonts w:hint="eastAsia"/>
        </w:rPr>
        <w:t>针对单独的医院科室科研绩效考核标准维护，制定并对科室考核方案进行配置并形成相关的考核绩效数据管理。</w:t>
      </w:r>
    </w:p>
    <w:p w14:paraId="7CEA4ABB">
      <w:pPr>
        <w:pStyle w:val="3"/>
        <w:rPr>
          <w:color w:val="auto"/>
        </w:rPr>
      </w:pPr>
      <w:r>
        <w:rPr>
          <w:rFonts w:hint="eastAsia"/>
          <w:color w:val="auto"/>
        </w:rPr>
        <w:t>后台管理</w:t>
      </w:r>
    </w:p>
    <w:p w14:paraId="4341F1F4">
      <w:pPr>
        <w:pStyle w:val="31"/>
        <w:numPr>
          <w:ilvl w:val="0"/>
          <w:numId w:val="14"/>
        </w:numPr>
        <w:tabs>
          <w:tab w:val="left" w:pos="-142"/>
          <w:tab w:val="clear" w:pos="846"/>
        </w:tabs>
        <w:ind w:left="0" w:firstLine="476" w:firstLineChars="0"/>
        <w:rPr>
          <w:rFonts w:cs="Arial"/>
          <w:bCs/>
          <w:iCs/>
          <w:szCs w:val="24"/>
        </w:rPr>
      </w:pPr>
      <w:r>
        <w:rPr>
          <w:rFonts w:hint="eastAsia" w:cs="Arial"/>
          <w:bCs/>
          <w:iCs/>
          <w:szCs w:val="24"/>
        </w:rPr>
        <w:t>提供科研基础设置，包括：课题类别、科研字典、期刊设置等管理。</w:t>
      </w:r>
    </w:p>
    <w:p w14:paraId="53EBE798">
      <w:pPr>
        <w:pStyle w:val="31"/>
        <w:numPr>
          <w:ilvl w:val="0"/>
          <w:numId w:val="14"/>
        </w:numPr>
        <w:tabs>
          <w:tab w:val="left" w:pos="-142"/>
          <w:tab w:val="clear" w:pos="846"/>
        </w:tabs>
        <w:ind w:left="0" w:firstLine="476" w:firstLineChars="0"/>
        <w:rPr>
          <w:rFonts w:cs="Arial"/>
          <w:bCs/>
          <w:iCs/>
          <w:szCs w:val="24"/>
        </w:rPr>
      </w:pPr>
      <w:r>
        <w:rPr>
          <w:rFonts w:hint="eastAsia" w:cs="Arial"/>
          <w:bCs/>
          <w:iCs/>
          <w:szCs w:val="24"/>
        </w:rPr>
        <w:t>科研字典管理提供新增、编辑和查询功能。提供包括：课题级别、课题来源、专利类型、课题学科分类、项目类别、学科代码、论文类型、期刊类型、期刊选项、刊物级别、索引收录、成果阶段、专家类型、学科级别等字典定义。</w:t>
      </w:r>
    </w:p>
    <w:p w14:paraId="1C2096C6">
      <w:pPr>
        <w:pStyle w:val="31"/>
        <w:numPr>
          <w:ilvl w:val="0"/>
          <w:numId w:val="14"/>
        </w:numPr>
        <w:tabs>
          <w:tab w:val="left" w:pos="-142"/>
          <w:tab w:val="clear" w:pos="846"/>
        </w:tabs>
        <w:ind w:left="0" w:firstLine="476" w:firstLineChars="0"/>
        <w:rPr>
          <w:rFonts w:cs="Arial"/>
          <w:bCs/>
          <w:iCs/>
          <w:szCs w:val="24"/>
        </w:rPr>
      </w:pPr>
      <w:r>
        <w:rPr>
          <w:rFonts w:hint="eastAsia" w:cs="Arial"/>
          <w:bCs/>
          <w:iCs/>
          <w:szCs w:val="24"/>
        </w:rPr>
        <w:t>提供院外人员信息的新增、查询、修改、删除、导出和用户管理功能。</w:t>
      </w:r>
    </w:p>
    <w:p w14:paraId="2944FAA1">
      <w:pPr>
        <w:pStyle w:val="31"/>
        <w:numPr>
          <w:ilvl w:val="0"/>
          <w:numId w:val="14"/>
        </w:numPr>
        <w:tabs>
          <w:tab w:val="left" w:pos="-142"/>
          <w:tab w:val="clear" w:pos="846"/>
        </w:tabs>
        <w:ind w:left="0" w:firstLine="476" w:firstLineChars="0"/>
        <w:rPr>
          <w:rFonts w:cs="Arial"/>
          <w:bCs/>
          <w:iCs/>
          <w:szCs w:val="24"/>
        </w:rPr>
      </w:pPr>
      <w:r>
        <w:rPr>
          <w:rFonts w:hint="eastAsia" w:cs="Arial"/>
          <w:bCs/>
          <w:iCs/>
          <w:szCs w:val="24"/>
        </w:rPr>
        <w:t>管理员可设置不同用户角色的权限；项目负责人可通过授权让其它用户具有与自己同等的操作权限。</w:t>
      </w:r>
    </w:p>
    <w:p w14:paraId="564FBE04">
      <w:pPr>
        <w:pStyle w:val="31"/>
        <w:numPr>
          <w:ilvl w:val="0"/>
          <w:numId w:val="14"/>
        </w:numPr>
        <w:tabs>
          <w:tab w:val="left" w:pos="-142"/>
          <w:tab w:val="clear" w:pos="846"/>
        </w:tabs>
        <w:ind w:left="0" w:firstLine="476" w:firstLineChars="0"/>
        <w:rPr>
          <w:rFonts w:cs="Arial"/>
          <w:bCs/>
          <w:iCs/>
          <w:szCs w:val="24"/>
        </w:rPr>
      </w:pPr>
      <w:r>
        <w:rPr>
          <w:rFonts w:cs="Arial"/>
          <w:bCs/>
          <w:iCs/>
          <w:szCs w:val="24"/>
        </w:rPr>
        <w:t>专家库可自主维护。</w:t>
      </w:r>
    </w:p>
    <w:p w14:paraId="4C397CE3">
      <w:pPr>
        <w:pStyle w:val="31"/>
        <w:numPr>
          <w:ilvl w:val="0"/>
          <w:numId w:val="14"/>
        </w:numPr>
        <w:tabs>
          <w:tab w:val="left" w:pos="-142"/>
          <w:tab w:val="clear" w:pos="846"/>
        </w:tabs>
        <w:ind w:left="0" w:firstLine="476" w:firstLineChars="0"/>
        <w:rPr>
          <w:rFonts w:cs="Arial"/>
          <w:bCs/>
          <w:iCs/>
          <w:szCs w:val="24"/>
        </w:rPr>
      </w:pPr>
      <w:r>
        <w:rPr>
          <w:rFonts w:hint="eastAsia" w:cs="Arial"/>
          <w:bCs/>
          <w:iCs/>
          <w:szCs w:val="24"/>
        </w:rPr>
        <w:t>可根据不同类型课题项目，定义横向课题、纵向课题的等多种管理模板，并可定义相关课题过程管理的节点，让特定类型课题项目按规定节点执行。</w:t>
      </w:r>
    </w:p>
    <w:p w14:paraId="5478FDB6">
      <w:pPr>
        <w:pStyle w:val="31"/>
        <w:numPr>
          <w:ilvl w:val="0"/>
          <w:numId w:val="14"/>
        </w:numPr>
        <w:tabs>
          <w:tab w:val="left" w:pos="-142"/>
          <w:tab w:val="clear" w:pos="846"/>
        </w:tabs>
        <w:ind w:left="0" w:firstLine="476" w:firstLineChars="0"/>
        <w:rPr>
          <w:rFonts w:cs="Arial"/>
          <w:bCs/>
          <w:iCs/>
          <w:szCs w:val="24"/>
        </w:rPr>
      </w:pPr>
      <w:r>
        <w:rPr>
          <w:rFonts w:hint="eastAsia" w:cs="Arial"/>
          <w:bCs/>
          <w:iCs/>
          <w:szCs w:val="24"/>
        </w:rPr>
        <w:t>安全管理：可对安全方面的后台参数进行设置。包括</w:t>
      </w:r>
      <w:r>
        <w:rPr>
          <w:rFonts w:cs="Arial"/>
          <w:bCs/>
          <w:iCs/>
          <w:szCs w:val="24"/>
        </w:rPr>
        <w:t>：</w:t>
      </w:r>
      <w:r>
        <w:rPr>
          <w:rFonts w:hint="eastAsia" w:cs="Arial"/>
          <w:bCs/>
          <w:iCs/>
          <w:szCs w:val="24"/>
        </w:rPr>
        <w:t>安全策略设置、验证密码、身份认证设置、审计管理。</w:t>
      </w:r>
    </w:p>
    <w:p w14:paraId="40AA0283">
      <w:pPr>
        <w:pStyle w:val="31"/>
        <w:numPr>
          <w:ilvl w:val="0"/>
          <w:numId w:val="14"/>
        </w:numPr>
        <w:tabs>
          <w:tab w:val="left" w:pos="-142"/>
          <w:tab w:val="clear" w:pos="846"/>
        </w:tabs>
        <w:ind w:left="0" w:firstLine="476" w:firstLineChars="0"/>
        <w:rPr>
          <w:rFonts w:cs="Arial"/>
          <w:bCs/>
          <w:iCs/>
          <w:szCs w:val="24"/>
        </w:rPr>
      </w:pPr>
      <w:r>
        <w:rPr>
          <w:rFonts w:hint="eastAsia" w:cs="Arial"/>
          <w:bCs/>
          <w:iCs/>
          <w:szCs w:val="24"/>
        </w:rPr>
        <w:t>后台</w:t>
      </w:r>
      <w:r>
        <w:rPr>
          <w:rFonts w:cs="Arial"/>
          <w:bCs/>
          <w:iCs/>
          <w:szCs w:val="24"/>
        </w:rPr>
        <w:t>管理：</w:t>
      </w:r>
      <w:r>
        <w:rPr>
          <w:rFonts w:hint="eastAsia" w:cs="Arial"/>
          <w:bCs/>
          <w:iCs/>
          <w:szCs w:val="24"/>
        </w:rPr>
        <w:t>可</w:t>
      </w:r>
      <w:r>
        <w:rPr>
          <w:rFonts w:cs="Arial"/>
          <w:bCs/>
          <w:iCs/>
          <w:szCs w:val="24"/>
        </w:rPr>
        <w:t>对</w:t>
      </w:r>
      <w:r>
        <w:rPr>
          <w:rFonts w:hint="eastAsia" w:cs="Arial"/>
          <w:bCs/>
          <w:iCs/>
          <w:szCs w:val="24"/>
        </w:rPr>
        <w:t>系统的基础数据、基础参数进行后台设置。如：机构/部门设置、功能模块初始化、系统模板设置、权限管理、范围管理、定时服务、附件空间、单点登录等。</w:t>
      </w:r>
    </w:p>
    <w:p w14:paraId="552F3BCC">
      <w:pPr>
        <w:pStyle w:val="31"/>
        <w:numPr>
          <w:ilvl w:val="0"/>
          <w:numId w:val="14"/>
        </w:numPr>
        <w:tabs>
          <w:tab w:val="left" w:pos="-142"/>
          <w:tab w:val="clear" w:pos="846"/>
        </w:tabs>
        <w:ind w:left="0" w:firstLine="476" w:firstLineChars="0"/>
        <w:rPr>
          <w:rFonts w:cs="Arial"/>
          <w:bCs/>
          <w:iCs/>
          <w:szCs w:val="24"/>
        </w:rPr>
      </w:pPr>
      <w:r>
        <w:rPr>
          <w:rFonts w:hint="eastAsia" w:cs="Arial"/>
          <w:bCs/>
          <w:iCs/>
          <w:szCs w:val="24"/>
        </w:rPr>
        <w:t>▲日志管理：提供系统日志详细记录系统故障信息；提供登录日志记录登录用户的姓名、时间、IP地址等信息；提供操作日志动态的记录用户的操作行为信息；提供附件日志记录用户对系统各模块附件的新增、删除、编辑等信息。</w:t>
      </w:r>
    </w:p>
    <w:p w14:paraId="1015E3A5">
      <w:pPr>
        <w:pStyle w:val="3"/>
        <w:rPr>
          <w:color w:val="auto"/>
        </w:rPr>
      </w:pPr>
      <w:r>
        <w:rPr>
          <w:rFonts w:hint="eastAsia"/>
          <w:color w:val="auto"/>
        </w:rPr>
        <w:t>▲移动</w:t>
      </w:r>
      <w:r>
        <w:rPr>
          <w:color w:val="auto"/>
        </w:rPr>
        <w:t>端</w:t>
      </w:r>
    </w:p>
    <w:p w14:paraId="32CADEF3">
      <w:pPr>
        <w:pStyle w:val="31"/>
        <w:numPr>
          <w:ilvl w:val="0"/>
          <w:numId w:val="15"/>
        </w:numPr>
        <w:tabs>
          <w:tab w:val="left" w:pos="-142"/>
          <w:tab w:val="clear" w:pos="846"/>
        </w:tabs>
        <w:ind w:left="0" w:firstLine="476" w:firstLineChars="0"/>
        <w:rPr>
          <w:rFonts w:cs="Arial"/>
          <w:bCs/>
          <w:iCs/>
          <w:szCs w:val="24"/>
        </w:rPr>
      </w:pPr>
      <w:r>
        <w:rPr>
          <w:rFonts w:hint="eastAsia" w:cs="Arial"/>
          <w:bCs/>
          <w:iCs/>
          <w:szCs w:val="24"/>
        </w:rPr>
        <w:t>企业微信端需与桌面端科研系统无缝融合，实现同一套组织架构，系统用户和企业微信用户统一管理。</w:t>
      </w:r>
    </w:p>
    <w:p w14:paraId="2BD7D7FC">
      <w:pPr>
        <w:pStyle w:val="31"/>
        <w:numPr>
          <w:ilvl w:val="0"/>
          <w:numId w:val="15"/>
        </w:numPr>
        <w:tabs>
          <w:tab w:val="left" w:pos="-142"/>
          <w:tab w:val="clear" w:pos="846"/>
        </w:tabs>
        <w:ind w:left="0" w:firstLine="476" w:firstLineChars="0"/>
        <w:rPr>
          <w:rFonts w:cs="Arial"/>
          <w:bCs/>
          <w:iCs/>
          <w:szCs w:val="24"/>
        </w:rPr>
      </w:pPr>
      <w:r>
        <w:rPr>
          <w:rFonts w:hint="eastAsia" w:cs="Arial"/>
          <w:bCs/>
          <w:iCs/>
          <w:szCs w:val="24"/>
        </w:rPr>
        <w:t>系统的待办消息可以通过企业微信推送提醒。</w:t>
      </w:r>
    </w:p>
    <w:p w14:paraId="1285B1DF">
      <w:pPr>
        <w:pStyle w:val="31"/>
        <w:numPr>
          <w:ilvl w:val="0"/>
          <w:numId w:val="15"/>
        </w:numPr>
        <w:tabs>
          <w:tab w:val="left" w:pos="-142"/>
          <w:tab w:val="clear" w:pos="846"/>
        </w:tabs>
        <w:ind w:left="0" w:firstLine="476" w:firstLineChars="0"/>
        <w:rPr>
          <w:rFonts w:cs="Arial"/>
          <w:bCs/>
          <w:iCs/>
          <w:szCs w:val="24"/>
        </w:rPr>
      </w:pPr>
      <w:r>
        <w:rPr>
          <w:rFonts w:hint="eastAsia" w:cs="Arial"/>
          <w:bCs/>
          <w:iCs/>
          <w:szCs w:val="24"/>
        </w:rPr>
        <w:t>桌面端的流程审批信息、通知科研公告、科研文件、科研流程、</w:t>
      </w:r>
      <w:r>
        <w:rPr>
          <w:rFonts w:hint="eastAsia"/>
          <w:szCs w:val="24"/>
        </w:rPr>
        <w:t>传阅消息、活动会议</w:t>
      </w:r>
      <w:r>
        <w:rPr>
          <w:rFonts w:hint="eastAsia" w:cs="Arial"/>
          <w:bCs/>
          <w:iCs/>
          <w:szCs w:val="24"/>
        </w:rPr>
        <w:t>数据都可以与企业微信实时同步。</w:t>
      </w:r>
    </w:p>
    <w:p w14:paraId="2E056AE4">
      <w:pPr>
        <w:pStyle w:val="31"/>
        <w:numPr>
          <w:ilvl w:val="0"/>
          <w:numId w:val="15"/>
        </w:numPr>
        <w:tabs>
          <w:tab w:val="left" w:pos="-142"/>
          <w:tab w:val="clear" w:pos="846"/>
        </w:tabs>
        <w:ind w:left="0" w:firstLine="476" w:firstLineChars="0"/>
        <w:rPr>
          <w:rFonts w:cs="Arial"/>
          <w:bCs/>
          <w:iCs/>
          <w:szCs w:val="24"/>
        </w:rPr>
      </w:pPr>
      <w:r>
        <w:rPr>
          <w:rFonts w:hint="eastAsia" w:cs="Arial"/>
          <w:bCs/>
          <w:iCs/>
          <w:szCs w:val="24"/>
        </w:rPr>
        <w:t>系统内科研课题和科研成果的能进行查询操作及简单的流程审批。</w:t>
      </w:r>
      <w:bookmarkEnd w:id="9"/>
      <w:bookmarkEnd w:id="14"/>
    </w:p>
    <w:p w14:paraId="20E26D1E">
      <w:pPr>
        <w:pStyle w:val="3"/>
        <w:rPr>
          <w:color w:val="auto"/>
        </w:rPr>
      </w:pPr>
      <w:r>
        <w:rPr>
          <w:color w:val="auto"/>
        </w:rPr>
        <w:t>系统集成对接</w:t>
      </w:r>
    </w:p>
    <w:p w14:paraId="2980EBE5">
      <w:pPr>
        <w:pStyle w:val="31"/>
        <w:numPr>
          <w:ilvl w:val="0"/>
          <w:numId w:val="16"/>
        </w:numPr>
        <w:tabs>
          <w:tab w:val="left" w:pos="-142"/>
        </w:tabs>
        <w:ind w:firstLineChars="0"/>
        <w:rPr>
          <w:rFonts w:cs="Arial"/>
          <w:bCs/>
          <w:iCs/>
          <w:szCs w:val="24"/>
        </w:rPr>
      </w:pPr>
      <w:r>
        <w:rPr>
          <w:rFonts w:hint="eastAsia" w:cs="Arial"/>
          <w:bCs/>
          <w:iCs/>
          <w:szCs w:val="24"/>
        </w:rPr>
        <w:t>科研管理系统与熙软HRP系统对接，实现如相关人员外出参会申请可以与相关报销费用进行关联及查询。</w:t>
      </w:r>
      <w:ins w:id="0" w:author="刘珏" w:date="2025-09-23T14:06:19Z">
        <w:r>
          <w:rPr>
            <w:rFonts w:hint="eastAsia" w:cs="Arial"/>
            <w:bCs/>
            <w:iCs/>
            <w:szCs w:val="24"/>
            <w:lang w:val="en-US" w:eastAsia="zh-CN"/>
          </w:rPr>
          <w:t>(</w:t>
        </w:r>
      </w:ins>
      <w:ins w:id="1" w:author="刘珏" w:date="2025-09-23T14:06:40Z">
        <w:r>
          <w:rPr>
            <w:rFonts w:hint="eastAsia" w:cs="Arial"/>
            <w:bCs/>
            <w:iCs/>
            <w:szCs w:val="24"/>
            <w:lang w:val="en-US" w:eastAsia="zh-CN"/>
          </w:rPr>
          <w:t>不</w:t>
        </w:r>
      </w:ins>
      <w:ins w:id="2" w:author="刘珏" w:date="2025-09-23T14:06:42Z">
        <w:r>
          <w:rPr>
            <w:rFonts w:hint="eastAsia" w:cs="Arial"/>
            <w:bCs/>
            <w:iCs/>
            <w:szCs w:val="24"/>
            <w:lang w:val="en-US" w:eastAsia="zh-CN"/>
          </w:rPr>
          <w:t>得</w:t>
        </w:r>
      </w:ins>
      <w:ins w:id="3" w:author="刘珏" w:date="2025-09-23T14:06:45Z">
        <w:r>
          <w:rPr>
            <w:rFonts w:hint="eastAsia" w:cs="Arial"/>
            <w:bCs/>
            <w:iCs/>
            <w:szCs w:val="24"/>
            <w:lang w:val="en-US" w:eastAsia="zh-CN"/>
          </w:rPr>
          <w:t>额外</w:t>
        </w:r>
      </w:ins>
      <w:ins w:id="4" w:author="刘珏" w:date="2025-09-23T14:06:48Z">
        <w:r>
          <w:rPr>
            <w:rFonts w:hint="eastAsia" w:cs="Arial"/>
            <w:bCs/>
            <w:iCs/>
            <w:szCs w:val="24"/>
            <w:lang w:val="en-US" w:eastAsia="zh-CN"/>
          </w:rPr>
          <w:t>收取</w:t>
        </w:r>
      </w:ins>
      <w:ins w:id="5" w:author="刘珏" w:date="2025-09-23T14:06:53Z">
        <w:r>
          <w:rPr>
            <w:rFonts w:hint="eastAsia" w:cs="Arial"/>
            <w:bCs/>
            <w:iCs/>
            <w:szCs w:val="24"/>
            <w:lang w:val="en-US" w:eastAsia="zh-CN"/>
          </w:rPr>
          <w:t>接口费用</w:t>
        </w:r>
      </w:ins>
      <w:ins w:id="6" w:author="刘珏" w:date="2025-09-23T14:06:54Z">
        <w:r>
          <w:rPr>
            <w:rFonts w:hint="eastAsia" w:cs="Arial"/>
            <w:bCs/>
            <w:iCs/>
            <w:szCs w:val="24"/>
            <w:lang w:val="en-US" w:eastAsia="zh-CN"/>
          </w:rPr>
          <w:t>）</w:t>
        </w:r>
      </w:ins>
    </w:p>
    <w:p w14:paraId="51E67B6B">
      <w:pPr>
        <w:pStyle w:val="31"/>
        <w:numPr>
          <w:ilvl w:val="0"/>
          <w:numId w:val="16"/>
        </w:numPr>
        <w:tabs>
          <w:tab w:val="left" w:pos="-142"/>
          <w:tab w:val="clear" w:pos="846"/>
        </w:tabs>
        <w:ind w:left="0" w:firstLine="476" w:firstLineChars="0"/>
        <w:rPr>
          <w:rFonts w:cs="Arial"/>
          <w:bCs/>
          <w:iCs/>
          <w:szCs w:val="24"/>
        </w:rPr>
      </w:pPr>
      <w:r>
        <w:rPr>
          <w:rFonts w:hint="eastAsia" w:cs="Arial"/>
          <w:bCs/>
          <w:iCs/>
          <w:szCs w:val="24"/>
        </w:rPr>
        <w:t>科研系统与院内OA对接，共享相关人员组织架构及流程业务。</w:t>
      </w:r>
      <w:ins w:id="7" w:author="刘珏" w:date="2025-09-23T14:07:00Z">
        <w:r>
          <w:rPr>
            <w:rFonts w:hint="eastAsia" w:cs="Arial"/>
            <w:bCs/>
            <w:iCs/>
            <w:szCs w:val="24"/>
            <w:lang w:val="en-US" w:eastAsia="zh-CN"/>
          </w:rPr>
          <w:t>(不得额外收取接口费用）</w:t>
        </w:r>
      </w:ins>
    </w:p>
    <w:p w14:paraId="1EC1EA14">
      <w:pPr>
        <w:pStyle w:val="31"/>
        <w:numPr>
          <w:ilvl w:val="0"/>
          <w:numId w:val="16"/>
        </w:numPr>
        <w:tabs>
          <w:tab w:val="left" w:pos="-142"/>
          <w:tab w:val="clear" w:pos="846"/>
        </w:tabs>
        <w:ind w:left="0" w:firstLine="476" w:firstLineChars="0"/>
        <w:rPr>
          <w:rFonts w:cs="Arial"/>
          <w:bCs/>
          <w:iCs/>
          <w:szCs w:val="24"/>
        </w:rPr>
      </w:pPr>
      <w:r>
        <w:rPr>
          <w:rFonts w:hint="eastAsia" w:cs="Arial"/>
          <w:bCs/>
          <w:iCs/>
          <w:szCs w:val="24"/>
        </w:rPr>
        <w:t>预留系统接口，方便与第三方系统进行对接服务。</w:t>
      </w:r>
      <w:ins w:id="8" w:author="刘珏" w:date="2025-09-23T14:07:14Z">
        <w:r>
          <w:rPr>
            <w:rFonts w:hint="eastAsia" w:cs="Arial"/>
            <w:bCs/>
            <w:iCs/>
            <w:szCs w:val="24"/>
            <w:lang w:val="en-US" w:eastAsia="zh-CN"/>
          </w:rPr>
          <w:t>(不得额外收取接口费用）</w:t>
        </w:r>
      </w:ins>
    </w:p>
    <w:p w14:paraId="37902A5A">
      <w:pPr>
        <w:pStyle w:val="17"/>
        <w:ind w:left="569" w:hanging="569" w:hangingChars="177"/>
      </w:pPr>
      <w:r>
        <w:rPr>
          <w:rFonts w:hint="eastAsia"/>
        </w:rPr>
        <w:t>评分标准</w:t>
      </w:r>
    </w:p>
    <w:p w14:paraId="30B58787">
      <w:pPr>
        <w:tabs>
          <w:tab w:val="left" w:pos="-540"/>
        </w:tabs>
        <w:ind w:firstLine="480" w:firstLineChars="200"/>
        <w:rPr>
          <w:rFonts w:ascii="宋体" w:hAnsi="宋体"/>
          <w:snapToGrid w:val="0"/>
          <w:kern w:val="0"/>
          <w:lang w:val="zh-CN"/>
        </w:rPr>
      </w:pPr>
      <w:r>
        <w:rPr>
          <w:rFonts w:hint="eastAsia" w:ascii="宋体" w:hAnsi="宋体"/>
          <w:snapToGrid w:val="0"/>
          <w:kern w:val="0"/>
          <w:lang w:val="en-GB"/>
        </w:rPr>
        <w:t>评选小组在供应商满足采购文件实质性要求前提下，对供应商技术、商务、价格三部分进行综合评审和独立评分，以综合总得分从高到低的排名顺序，综合总得分排第一名的供应商为成交供应商。</w:t>
      </w:r>
    </w:p>
    <w:p w14:paraId="3F1D0ECC">
      <w:pPr>
        <w:tabs>
          <w:tab w:val="left" w:pos="-540"/>
        </w:tabs>
        <w:ind w:firstLine="480" w:firstLineChars="200"/>
        <w:rPr>
          <w:rFonts w:ascii="宋体" w:hAnsi="宋体"/>
          <w:snapToGrid w:val="0"/>
          <w:kern w:val="0"/>
          <w:lang w:val="en-GB"/>
        </w:rPr>
      </w:pPr>
      <w:r>
        <w:rPr>
          <w:rFonts w:hint="eastAsia" w:ascii="宋体" w:hAnsi="宋体"/>
          <w:snapToGrid w:val="0"/>
          <w:kern w:val="0"/>
          <w:lang w:val="en-GB"/>
        </w:rPr>
        <w:t>当综合评价总得分相同时，依次序分别以供应商的最后报价、技术部分、商务部分评价的优劣，从中择优确定成交供应商。</w:t>
      </w:r>
    </w:p>
    <w:p w14:paraId="58CD9042">
      <w:pPr>
        <w:pStyle w:val="3"/>
        <w:rPr>
          <w:color w:val="auto"/>
        </w:rPr>
      </w:pPr>
      <w:r>
        <w:rPr>
          <w:rFonts w:hint="eastAsia"/>
          <w:color w:val="auto"/>
        </w:rPr>
        <w:t>评分因素及分值</w:t>
      </w:r>
    </w:p>
    <w:tbl>
      <w:tblPr>
        <w:tblStyle w:val="18"/>
        <w:tblW w:w="834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2"/>
        <w:gridCol w:w="3392"/>
        <w:gridCol w:w="3780"/>
      </w:tblGrid>
      <w:tr w14:paraId="4144D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6124203F">
            <w:pPr>
              <w:widowControl/>
              <w:snapToGrid w:val="0"/>
              <w:spacing w:line="240" w:lineRule="auto"/>
              <w:ind w:right="-28"/>
              <w:jc w:val="center"/>
              <w:rPr>
                <w:rFonts w:ascii="宋体" w:hAnsi="宋体" w:cs="宋体"/>
              </w:rPr>
            </w:pPr>
            <w:r>
              <w:rPr>
                <w:rFonts w:hint="eastAsia" w:ascii="宋体" w:hAnsi="宋体" w:cs="宋体"/>
              </w:rPr>
              <w:t>序号</w:t>
            </w:r>
          </w:p>
        </w:tc>
        <w:tc>
          <w:tcPr>
            <w:tcW w:w="3392" w:type="dxa"/>
            <w:tcBorders>
              <w:top w:val="single" w:color="000000" w:sz="6" w:space="0"/>
              <w:left w:val="single" w:color="000000" w:sz="6" w:space="0"/>
              <w:bottom w:val="single" w:color="000000" w:sz="6" w:space="0"/>
              <w:right w:val="single" w:color="000000" w:sz="6" w:space="0"/>
            </w:tcBorders>
            <w:vAlign w:val="center"/>
          </w:tcPr>
          <w:p w14:paraId="41F5FCC9">
            <w:pPr>
              <w:widowControl/>
              <w:snapToGrid w:val="0"/>
              <w:spacing w:line="240" w:lineRule="auto"/>
              <w:jc w:val="center"/>
              <w:rPr>
                <w:rFonts w:ascii="宋体" w:hAnsi="宋体" w:cs="宋体"/>
              </w:rPr>
            </w:pPr>
            <w:r>
              <w:rPr>
                <w:rFonts w:hint="eastAsia" w:ascii="宋体" w:hAnsi="宋体" w:cs="宋体"/>
              </w:rPr>
              <w:t>评分标准</w:t>
            </w:r>
          </w:p>
        </w:tc>
        <w:tc>
          <w:tcPr>
            <w:tcW w:w="3780" w:type="dxa"/>
            <w:tcBorders>
              <w:top w:val="single" w:color="000000" w:sz="6" w:space="0"/>
              <w:left w:val="single" w:color="000000" w:sz="6" w:space="0"/>
              <w:bottom w:val="single" w:color="000000" w:sz="6" w:space="0"/>
              <w:right w:val="single" w:color="000000" w:sz="6" w:space="0"/>
            </w:tcBorders>
            <w:vAlign w:val="center"/>
          </w:tcPr>
          <w:p w14:paraId="14EF7414">
            <w:pPr>
              <w:widowControl/>
              <w:snapToGrid w:val="0"/>
              <w:spacing w:line="240" w:lineRule="auto"/>
              <w:jc w:val="center"/>
              <w:rPr>
                <w:rFonts w:ascii="宋体" w:hAnsi="宋体" w:cs="宋体"/>
              </w:rPr>
            </w:pPr>
            <w:r>
              <w:rPr>
                <w:rFonts w:hint="eastAsia" w:ascii="宋体" w:hAnsi="宋体" w:cs="宋体"/>
              </w:rPr>
              <w:t>分值</w:t>
            </w:r>
          </w:p>
        </w:tc>
      </w:tr>
      <w:tr w14:paraId="74B8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0981A21A">
            <w:pPr>
              <w:widowControl/>
              <w:spacing w:line="240" w:lineRule="auto"/>
              <w:ind w:right="-28"/>
              <w:jc w:val="center"/>
              <w:rPr>
                <w:rFonts w:ascii="宋体" w:hAnsi="宋体" w:cs="宋体"/>
              </w:rPr>
            </w:pPr>
            <w:r>
              <w:rPr>
                <w:rFonts w:hint="eastAsia" w:ascii="宋体" w:hAnsi="宋体" w:cs="宋体"/>
              </w:rPr>
              <w:t>1</w:t>
            </w:r>
          </w:p>
        </w:tc>
        <w:tc>
          <w:tcPr>
            <w:tcW w:w="3392" w:type="dxa"/>
            <w:tcBorders>
              <w:top w:val="single" w:color="000000" w:sz="6" w:space="0"/>
              <w:left w:val="single" w:color="000000" w:sz="6" w:space="0"/>
              <w:bottom w:val="single" w:color="000000" w:sz="6" w:space="0"/>
              <w:right w:val="single" w:color="000000" w:sz="6" w:space="0"/>
            </w:tcBorders>
            <w:vAlign w:val="center"/>
          </w:tcPr>
          <w:p w14:paraId="4D34867A">
            <w:pPr>
              <w:widowControl/>
              <w:spacing w:line="240" w:lineRule="auto"/>
              <w:jc w:val="center"/>
              <w:rPr>
                <w:rFonts w:ascii="宋体" w:hAnsi="宋体" w:cs="宋体"/>
              </w:rPr>
            </w:pPr>
            <w:r>
              <w:rPr>
                <w:rFonts w:hint="eastAsia" w:ascii="宋体" w:hAnsi="宋体" w:cs="宋体"/>
              </w:rPr>
              <w:t>商务部分</w:t>
            </w:r>
          </w:p>
        </w:tc>
        <w:tc>
          <w:tcPr>
            <w:tcW w:w="3780" w:type="dxa"/>
            <w:tcBorders>
              <w:top w:val="single" w:color="000000" w:sz="6" w:space="0"/>
              <w:left w:val="single" w:color="000000" w:sz="6" w:space="0"/>
              <w:bottom w:val="single" w:color="000000" w:sz="6" w:space="0"/>
              <w:right w:val="single" w:color="000000" w:sz="6" w:space="0"/>
            </w:tcBorders>
            <w:vAlign w:val="center"/>
          </w:tcPr>
          <w:p w14:paraId="7317D7A6">
            <w:pPr>
              <w:spacing w:line="240" w:lineRule="auto"/>
              <w:jc w:val="center"/>
              <w:rPr>
                <w:rFonts w:ascii="宋体" w:hAnsi="宋体" w:cs="仿宋_GB2312"/>
              </w:rPr>
            </w:pPr>
            <w:r>
              <w:rPr>
                <w:rFonts w:hint="eastAsia" w:ascii="宋体" w:hAnsi="宋体" w:cs="仿宋_GB2312"/>
              </w:rPr>
              <w:t>32</w:t>
            </w:r>
          </w:p>
        </w:tc>
      </w:tr>
      <w:tr w14:paraId="08F7D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774D9F47">
            <w:pPr>
              <w:widowControl/>
              <w:spacing w:line="240" w:lineRule="auto"/>
              <w:ind w:right="-28"/>
              <w:jc w:val="center"/>
              <w:rPr>
                <w:rFonts w:ascii="宋体" w:hAnsi="宋体" w:cs="宋体"/>
              </w:rPr>
            </w:pPr>
            <w:r>
              <w:rPr>
                <w:rFonts w:hint="eastAsia" w:ascii="宋体" w:hAnsi="宋体" w:cs="宋体"/>
              </w:rPr>
              <w:t>2</w:t>
            </w:r>
          </w:p>
        </w:tc>
        <w:tc>
          <w:tcPr>
            <w:tcW w:w="3392" w:type="dxa"/>
            <w:tcBorders>
              <w:top w:val="single" w:color="000000" w:sz="6" w:space="0"/>
              <w:left w:val="single" w:color="000000" w:sz="6" w:space="0"/>
              <w:bottom w:val="single" w:color="000000" w:sz="6" w:space="0"/>
              <w:right w:val="single" w:color="000000" w:sz="6" w:space="0"/>
            </w:tcBorders>
            <w:vAlign w:val="center"/>
          </w:tcPr>
          <w:p w14:paraId="77E4687E">
            <w:pPr>
              <w:widowControl/>
              <w:spacing w:line="240" w:lineRule="auto"/>
              <w:jc w:val="center"/>
              <w:rPr>
                <w:rFonts w:ascii="宋体" w:hAnsi="宋体" w:cs="宋体"/>
              </w:rPr>
            </w:pPr>
            <w:r>
              <w:rPr>
                <w:rFonts w:hint="eastAsia" w:ascii="宋体" w:hAnsi="宋体" w:cs="宋体"/>
              </w:rPr>
              <w:t>技术部分</w:t>
            </w:r>
          </w:p>
        </w:tc>
        <w:tc>
          <w:tcPr>
            <w:tcW w:w="3780" w:type="dxa"/>
            <w:tcBorders>
              <w:top w:val="single" w:color="000000" w:sz="6" w:space="0"/>
              <w:left w:val="single" w:color="000000" w:sz="6" w:space="0"/>
              <w:bottom w:val="single" w:color="000000" w:sz="6" w:space="0"/>
              <w:right w:val="single" w:color="000000" w:sz="6" w:space="0"/>
            </w:tcBorders>
            <w:vAlign w:val="center"/>
          </w:tcPr>
          <w:p w14:paraId="108993CD">
            <w:pPr>
              <w:spacing w:line="240" w:lineRule="auto"/>
              <w:jc w:val="center"/>
              <w:rPr>
                <w:rFonts w:ascii="宋体" w:hAnsi="宋体" w:cs="仿宋_GB2312"/>
              </w:rPr>
            </w:pPr>
            <w:r>
              <w:rPr>
                <w:rFonts w:hint="eastAsia" w:ascii="宋体" w:hAnsi="宋体" w:cs="仿宋_GB2312"/>
              </w:rPr>
              <w:t>58</w:t>
            </w:r>
          </w:p>
        </w:tc>
      </w:tr>
      <w:tr w14:paraId="17F1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1172" w:type="dxa"/>
            <w:tcBorders>
              <w:top w:val="single" w:color="000000" w:sz="6" w:space="0"/>
              <w:left w:val="single" w:color="000000" w:sz="6" w:space="0"/>
              <w:bottom w:val="single" w:color="000000" w:sz="6" w:space="0"/>
              <w:right w:val="single" w:color="000000" w:sz="6" w:space="0"/>
            </w:tcBorders>
            <w:vAlign w:val="center"/>
          </w:tcPr>
          <w:p w14:paraId="26870466">
            <w:pPr>
              <w:widowControl/>
              <w:spacing w:line="240" w:lineRule="auto"/>
              <w:ind w:right="-28"/>
              <w:jc w:val="center"/>
              <w:rPr>
                <w:rFonts w:ascii="宋体" w:hAnsi="宋体" w:cs="宋体"/>
              </w:rPr>
            </w:pPr>
            <w:r>
              <w:rPr>
                <w:rFonts w:hint="eastAsia" w:ascii="宋体" w:hAnsi="宋体" w:cs="宋体"/>
              </w:rPr>
              <w:t>3</w:t>
            </w:r>
          </w:p>
        </w:tc>
        <w:tc>
          <w:tcPr>
            <w:tcW w:w="3392" w:type="dxa"/>
            <w:tcBorders>
              <w:top w:val="single" w:color="000000" w:sz="6" w:space="0"/>
              <w:left w:val="single" w:color="000000" w:sz="6" w:space="0"/>
              <w:bottom w:val="single" w:color="000000" w:sz="6" w:space="0"/>
              <w:right w:val="single" w:color="000000" w:sz="6" w:space="0"/>
            </w:tcBorders>
            <w:vAlign w:val="center"/>
          </w:tcPr>
          <w:p w14:paraId="24C08B5B">
            <w:pPr>
              <w:widowControl/>
              <w:spacing w:line="240" w:lineRule="auto"/>
              <w:jc w:val="center"/>
              <w:rPr>
                <w:rFonts w:ascii="宋体" w:hAnsi="宋体" w:cs="宋体"/>
              </w:rPr>
            </w:pPr>
            <w:r>
              <w:rPr>
                <w:rFonts w:hint="eastAsia" w:ascii="宋体" w:hAnsi="宋体" w:cs="宋体"/>
              </w:rPr>
              <w:t>价格部分</w:t>
            </w:r>
          </w:p>
        </w:tc>
        <w:tc>
          <w:tcPr>
            <w:tcW w:w="3780" w:type="dxa"/>
            <w:tcBorders>
              <w:top w:val="single" w:color="000000" w:sz="6" w:space="0"/>
              <w:left w:val="single" w:color="000000" w:sz="6" w:space="0"/>
              <w:bottom w:val="single" w:color="000000" w:sz="6" w:space="0"/>
              <w:right w:val="single" w:color="000000" w:sz="6" w:space="0"/>
            </w:tcBorders>
            <w:vAlign w:val="center"/>
          </w:tcPr>
          <w:p w14:paraId="09AEF4C8">
            <w:pPr>
              <w:widowControl/>
              <w:spacing w:line="240" w:lineRule="auto"/>
              <w:jc w:val="center"/>
              <w:rPr>
                <w:rFonts w:ascii="宋体" w:hAnsi="宋体" w:cs="宋体"/>
              </w:rPr>
            </w:pPr>
            <w:r>
              <w:rPr>
                <w:rFonts w:hint="eastAsia" w:ascii="宋体" w:hAnsi="宋体" w:cs="宋体"/>
              </w:rPr>
              <w:t>10</w:t>
            </w:r>
          </w:p>
        </w:tc>
      </w:tr>
      <w:tr w14:paraId="7999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trPr>
        <w:tc>
          <w:tcPr>
            <w:tcW w:w="4564" w:type="dxa"/>
            <w:gridSpan w:val="2"/>
            <w:tcBorders>
              <w:top w:val="single" w:color="000000" w:sz="6" w:space="0"/>
              <w:left w:val="single" w:color="000000" w:sz="6" w:space="0"/>
              <w:bottom w:val="single" w:color="000000" w:sz="6" w:space="0"/>
              <w:right w:val="single" w:color="000000" w:sz="6" w:space="0"/>
            </w:tcBorders>
            <w:vAlign w:val="center"/>
          </w:tcPr>
          <w:p w14:paraId="22A9D6D9">
            <w:pPr>
              <w:widowControl/>
              <w:spacing w:line="240" w:lineRule="auto"/>
              <w:jc w:val="center"/>
              <w:rPr>
                <w:rFonts w:ascii="宋体" w:hAnsi="宋体" w:cs="宋体"/>
              </w:rPr>
            </w:pPr>
            <w:r>
              <w:rPr>
                <w:rFonts w:hint="eastAsia" w:ascii="宋体" w:hAnsi="宋体" w:cs="宋体"/>
              </w:rPr>
              <w:t>合  计</w:t>
            </w:r>
          </w:p>
        </w:tc>
        <w:tc>
          <w:tcPr>
            <w:tcW w:w="3780" w:type="dxa"/>
            <w:tcBorders>
              <w:top w:val="single" w:color="000000" w:sz="6" w:space="0"/>
              <w:left w:val="single" w:color="000000" w:sz="6" w:space="0"/>
              <w:bottom w:val="single" w:color="000000" w:sz="6" w:space="0"/>
              <w:right w:val="single" w:color="000000" w:sz="6" w:space="0"/>
            </w:tcBorders>
            <w:vAlign w:val="center"/>
          </w:tcPr>
          <w:p w14:paraId="68A413D4">
            <w:pPr>
              <w:widowControl/>
              <w:spacing w:line="240" w:lineRule="auto"/>
              <w:jc w:val="center"/>
              <w:rPr>
                <w:rFonts w:ascii="宋体" w:hAnsi="宋体" w:cs="宋体"/>
              </w:rPr>
            </w:pPr>
            <w:r>
              <w:rPr>
                <w:rFonts w:hint="eastAsia" w:ascii="宋体" w:hAnsi="宋体" w:cs="宋体"/>
              </w:rPr>
              <w:t>100</w:t>
            </w:r>
          </w:p>
        </w:tc>
      </w:tr>
    </w:tbl>
    <w:p w14:paraId="13B93CD3">
      <w:pPr>
        <w:spacing w:line="240" w:lineRule="auto"/>
        <w:rPr>
          <w:sz w:val="21"/>
        </w:rPr>
      </w:pPr>
    </w:p>
    <w:p w14:paraId="445F331C">
      <w:pPr>
        <w:pStyle w:val="3"/>
        <w:rPr>
          <w:color w:val="auto"/>
        </w:rPr>
      </w:pPr>
      <w:r>
        <w:rPr>
          <w:rFonts w:hint="eastAsia"/>
          <w:color w:val="auto"/>
        </w:rPr>
        <w:t>评分标准</w:t>
      </w:r>
    </w:p>
    <w:p w14:paraId="13388574">
      <w:pPr>
        <w:numPr>
          <w:ilvl w:val="0"/>
          <w:numId w:val="17"/>
        </w:numPr>
        <w:spacing w:line="240" w:lineRule="auto"/>
        <w:rPr>
          <w:rFonts w:ascii="Noto Serif CJK SC Light" w:hAnsi="Noto Serif CJK SC Light" w:eastAsia="Noto Serif CJK SC Light" w:cs="宋体"/>
        </w:rPr>
      </w:pPr>
      <w:r>
        <w:rPr>
          <w:rFonts w:hint="eastAsia" w:ascii="Noto Serif CJK SC Light" w:hAnsi="Noto Serif CJK SC Light" w:eastAsia="Noto Serif CJK SC Light" w:cs="宋体"/>
        </w:rPr>
        <w:t>商务部分</w:t>
      </w:r>
    </w:p>
    <w:tbl>
      <w:tblPr>
        <w:tblStyle w:val="18"/>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1810"/>
        <w:gridCol w:w="707"/>
        <w:gridCol w:w="5280"/>
      </w:tblGrid>
      <w:tr w14:paraId="3371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trPr>
        <w:tc>
          <w:tcPr>
            <w:tcW w:w="595" w:type="dxa"/>
            <w:vAlign w:val="center"/>
          </w:tcPr>
          <w:p w14:paraId="7A64632B">
            <w:pPr>
              <w:widowControl/>
              <w:spacing w:line="240" w:lineRule="auto"/>
              <w:jc w:val="center"/>
              <w:rPr>
                <w:rFonts w:ascii="宋体" w:hAnsi="宋体" w:cs="宋体"/>
              </w:rPr>
            </w:pPr>
            <w:r>
              <w:rPr>
                <w:rFonts w:hint="eastAsia" w:ascii="宋体" w:hAnsi="宋体" w:cs="宋体"/>
              </w:rPr>
              <w:t>序号</w:t>
            </w:r>
          </w:p>
        </w:tc>
        <w:tc>
          <w:tcPr>
            <w:tcW w:w="1810" w:type="dxa"/>
            <w:vAlign w:val="center"/>
          </w:tcPr>
          <w:p w14:paraId="783D5304">
            <w:pPr>
              <w:widowControl/>
              <w:spacing w:line="240" w:lineRule="auto"/>
              <w:jc w:val="center"/>
              <w:rPr>
                <w:rFonts w:ascii="宋体" w:hAnsi="宋体" w:cs="宋体"/>
              </w:rPr>
            </w:pPr>
            <w:r>
              <w:rPr>
                <w:rFonts w:hint="eastAsia" w:ascii="宋体" w:hAnsi="宋体" w:cs="宋体"/>
              </w:rPr>
              <w:t>评分因素分项</w:t>
            </w:r>
          </w:p>
        </w:tc>
        <w:tc>
          <w:tcPr>
            <w:tcW w:w="707" w:type="dxa"/>
            <w:vAlign w:val="center"/>
          </w:tcPr>
          <w:p w14:paraId="63A6BDF5">
            <w:pPr>
              <w:widowControl/>
              <w:spacing w:line="240" w:lineRule="auto"/>
              <w:jc w:val="center"/>
              <w:rPr>
                <w:rFonts w:ascii="宋体" w:hAnsi="宋体" w:cs="宋体"/>
              </w:rPr>
            </w:pPr>
            <w:r>
              <w:rPr>
                <w:rFonts w:hint="eastAsia" w:ascii="宋体" w:hAnsi="宋体" w:cs="宋体"/>
              </w:rPr>
              <w:t>分值</w:t>
            </w:r>
          </w:p>
        </w:tc>
        <w:tc>
          <w:tcPr>
            <w:tcW w:w="5280" w:type="dxa"/>
            <w:vAlign w:val="center"/>
          </w:tcPr>
          <w:p w14:paraId="0ED24370">
            <w:pPr>
              <w:widowControl/>
              <w:spacing w:line="240" w:lineRule="auto"/>
              <w:jc w:val="center"/>
              <w:rPr>
                <w:rFonts w:ascii="宋体" w:hAnsi="宋体" w:cs="宋体"/>
              </w:rPr>
            </w:pPr>
            <w:r>
              <w:rPr>
                <w:rFonts w:hint="eastAsia" w:ascii="宋体" w:hAnsi="宋体" w:cs="宋体"/>
              </w:rPr>
              <w:t>评分标准</w:t>
            </w:r>
          </w:p>
        </w:tc>
      </w:tr>
      <w:tr w14:paraId="214B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595" w:type="dxa"/>
            <w:vAlign w:val="center"/>
          </w:tcPr>
          <w:p w14:paraId="30F56179">
            <w:pPr>
              <w:widowControl/>
              <w:spacing w:line="240" w:lineRule="auto"/>
              <w:jc w:val="center"/>
              <w:rPr>
                <w:rFonts w:ascii="宋体" w:hAnsi="宋体" w:cs="宋体"/>
              </w:rPr>
            </w:pPr>
            <w:r>
              <w:rPr>
                <w:rFonts w:hint="eastAsia" w:ascii="宋体" w:hAnsi="宋体" w:cs="宋体"/>
              </w:rPr>
              <w:t>1</w:t>
            </w:r>
          </w:p>
        </w:tc>
        <w:tc>
          <w:tcPr>
            <w:tcW w:w="1810" w:type="dxa"/>
            <w:vAlign w:val="center"/>
          </w:tcPr>
          <w:p w14:paraId="50A936C6">
            <w:pPr>
              <w:widowControl/>
              <w:spacing w:line="240" w:lineRule="auto"/>
              <w:jc w:val="center"/>
              <w:rPr>
                <w:rFonts w:ascii="宋体" w:hAnsi="宋体" w:cs="宋体"/>
              </w:rPr>
            </w:pPr>
            <w:r>
              <w:rPr>
                <w:rFonts w:hint="eastAsia" w:ascii="宋体" w:hAnsi="宋体" w:cs="宋体"/>
              </w:rPr>
              <w:t>销售业绩</w:t>
            </w:r>
          </w:p>
        </w:tc>
        <w:tc>
          <w:tcPr>
            <w:tcW w:w="707" w:type="dxa"/>
            <w:vAlign w:val="center"/>
          </w:tcPr>
          <w:p w14:paraId="06A71F47">
            <w:pPr>
              <w:widowControl/>
              <w:spacing w:line="240" w:lineRule="auto"/>
              <w:jc w:val="center"/>
              <w:rPr>
                <w:rFonts w:ascii="宋体" w:hAnsi="宋体" w:cs="宋体"/>
              </w:rPr>
            </w:pPr>
            <w:r>
              <w:rPr>
                <w:rFonts w:hint="eastAsia" w:ascii="宋体" w:hAnsi="宋体" w:cs="宋体"/>
              </w:rPr>
              <w:t>12</w:t>
            </w:r>
          </w:p>
        </w:tc>
        <w:tc>
          <w:tcPr>
            <w:tcW w:w="5280" w:type="dxa"/>
            <w:vAlign w:val="center"/>
          </w:tcPr>
          <w:p w14:paraId="546795FF">
            <w:pPr>
              <w:spacing w:line="240" w:lineRule="auto"/>
              <w:rPr>
                <w:rFonts w:ascii="宋体" w:hAnsi="宋体" w:cs="宋体"/>
              </w:rPr>
            </w:pPr>
            <w:bookmarkStart w:id="15" w:name="OLE_LINK3"/>
            <w:r>
              <w:rPr>
                <w:rFonts w:hint="eastAsia" w:ascii="宋体" w:hAnsi="宋体" w:cs="宋体"/>
              </w:rPr>
              <w:t>供应商提供自202</w:t>
            </w:r>
            <w:r>
              <w:rPr>
                <w:rFonts w:ascii="宋体" w:hAnsi="宋体" w:cs="宋体"/>
              </w:rPr>
              <w:t>2</w:t>
            </w:r>
            <w:r>
              <w:rPr>
                <w:rFonts w:hint="eastAsia" w:ascii="宋体" w:hAnsi="宋体" w:cs="宋体"/>
              </w:rPr>
              <w:t>年</w:t>
            </w:r>
            <w:r>
              <w:rPr>
                <w:rFonts w:ascii="宋体" w:hAnsi="宋体" w:cs="宋体"/>
              </w:rPr>
              <w:t>1</w:t>
            </w:r>
            <w:r>
              <w:rPr>
                <w:rFonts w:hint="eastAsia" w:ascii="宋体" w:hAnsi="宋体" w:cs="宋体"/>
              </w:rPr>
              <w:t>月1日至本项目唱价日在中国境内的销售业绩进行综合评审，材料中需明确有同类项目相关软件方视为有效，每提供1份合格的销售业绩得</w:t>
            </w:r>
            <w:r>
              <w:rPr>
                <w:rFonts w:ascii="宋体" w:hAnsi="宋体" w:cs="宋体"/>
              </w:rPr>
              <w:t>2</w:t>
            </w:r>
            <w:r>
              <w:rPr>
                <w:rFonts w:hint="eastAsia" w:ascii="宋体" w:hAnsi="宋体" w:cs="宋体"/>
              </w:rPr>
              <w:t>分，最高得</w:t>
            </w:r>
            <w:r>
              <w:rPr>
                <w:rFonts w:ascii="宋体" w:hAnsi="宋体" w:cs="宋体"/>
              </w:rPr>
              <w:t>12</w:t>
            </w:r>
            <w:r>
              <w:rPr>
                <w:rFonts w:hint="eastAsia" w:ascii="宋体" w:hAnsi="宋体" w:cs="宋体"/>
              </w:rPr>
              <w:t>分。</w:t>
            </w:r>
          </w:p>
          <w:p w14:paraId="24F2421D">
            <w:pPr>
              <w:spacing w:line="240" w:lineRule="auto"/>
              <w:rPr>
                <w:rFonts w:ascii="宋体" w:hAnsi="宋体" w:cs="宋体"/>
              </w:rPr>
            </w:pPr>
            <w:r>
              <w:rPr>
                <w:rFonts w:hint="eastAsia" w:ascii="宋体" w:hAnsi="宋体" w:cs="宋体"/>
              </w:rPr>
              <w:t>注：1.</w:t>
            </w:r>
            <w:r>
              <w:rPr>
                <w:rFonts w:ascii="宋体" w:hAnsi="宋体" w:cs="宋体"/>
              </w:rPr>
              <w:t>合同复印件中</w:t>
            </w:r>
            <w:r>
              <w:rPr>
                <w:rFonts w:hint="eastAsia" w:ascii="宋体" w:hAnsi="宋体" w:cs="宋体"/>
              </w:rPr>
              <w:t>需</w:t>
            </w:r>
            <w:r>
              <w:rPr>
                <w:rFonts w:ascii="宋体" w:hAnsi="宋体" w:cs="宋体"/>
              </w:rPr>
              <w:t>包含</w:t>
            </w:r>
            <w:r>
              <w:rPr>
                <w:rFonts w:hint="eastAsia" w:ascii="宋体" w:hAnsi="宋体" w:cs="宋体"/>
              </w:rPr>
              <w:t>合同首页、盖章页、关键服务内容页的复印件，并加盖供应商单位公章。</w:t>
            </w:r>
          </w:p>
          <w:p w14:paraId="7CDF0A47">
            <w:pPr>
              <w:spacing w:line="240" w:lineRule="auto"/>
              <w:rPr>
                <w:rFonts w:ascii="宋体" w:hAnsi="宋体" w:cs="宋体"/>
              </w:rPr>
            </w:pPr>
            <w:r>
              <w:rPr>
                <w:rFonts w:hint="eastAsia" w:ascii="宋体" w:hAnsi="宋体" w:cs="宋体"/>
              </w:rPr>
              <w:t>2.日期以合同签署日期或成交通知书载明的日期为准，合同未注明签署日期或成交通知书未载明日期的不予认可。</w:t>
            </w:r>
          </w:p>
          <w:p w14:paraId="139A4B65">
            <w:pPr>
              <w:widowControl/>
              <w:spacing w:line="240" w:lineRule="auto"/>
              <w:jc w:val="left"/>
              <w:rPr>
                <w:rFonts w:ascii="宋体" w:hAnsi="宋体" w:cs="宋体"/>
              </w:rPr>
            </w:pPr>
            <w:r>
              <w:rPr>
                <w:rFonts w:hint="eastAsia" w:ascii="宋体" w:hAnsi="宋体" w:cs="宋体"/>
              </w:rPr>
              <w:t>3</w:t>
            </w:r>
            <w:r>
              <w:rPr>
                <w:rFonts w:ascii="宋体" w:hAnsi="宋体" w:cs="宋体"/>
              </w:rPr>
              <w:t>.</w:t>
            </w:r>
            <w:r>
              <w:rPr>
                <w:rFonts w:hint="eastAsia" w:ascii="宋体" w:hAnsi="宋体" w:cs="宋体"/>
              </w:rPr>
              <w:t>销售给同一采购人的不同日期的合同按</w:t>
            </w:r>
            <w:r>
              <w:rPr>
                <w:rFonts w:ascii="宋体" w:hAnsi="宋体" w:cs="宋体"/>
              </w:rPr>
              <w:t>1</w:t>
            </w:r>
            <w:r>
              <w:rPr>
                <w:rFonts w:hint="eastAsia" w:ascii="宋体" w:hAnsi="宋体" w:cs="宋体"/>
              </w:rPr>
              <w:t>份合同计算。</w:t>
            </w:r>
            <w:bookmarkEnd w:id="15"/>
          </w:p>
        </w:tc>
      </w:tr>
      <w:tr w14:paraId="5065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7" w:hRule="atLeast"/>
        </w:trPr>
        <w:tc>
          <w:tcPr>
            <w:tcW w:w="595" w:type="dxa"/>
            <w:vAlign w:val="center"/>
          </w:tcPr>
          <w:p w14:paraId="57B46D16">
            <w:pPr>
              <w:widowControl/>
              <w:spacing w:line="240" w:lineRule="auto"/>
              <w:jc w:val="center"/>
              <w:rPr>
                <w:rFonts w:ascii="宋体" w:hAnsi="宋体" w:cs="宋体"/>
              </w:rPr>
            </w:pPr>
            <w:r>
              <w:rPr>
                <w:rFonts w:hint="eastAsia" w:ascii="宋体" w:hAnsi="宋体" w:cs="宋体"/>
              </w:rPr>
              <w:t>2</w:t>
            </w:r>
          </w:p>
        </w:tc>
        <w:tc>
          <w:tcPr>
            <w:tcW w:w="1810" w:type="dxa"/>
            <w:vAlign w:val="center"/>
          </w:tcPr>
          <w:p w14:paraId="3FC9CA12">
            <w:pPr>
              <w:widowControl/>
              <w:spacing w:line="240" w:lineRule="auto"/>
              <w:jc w:val="center"/>
              <w:rPr>
                <w:rFonts w:ascii="宋体" w:hAnsi="宋体" w:cs="宋体"/>
              </w:rPr>
            </w:pPr>
            <w:r>
              <w:rPr>
                <w:rFonts w:hint="eastAsia" w:ascii="宋体" w:hAnsi="宋体" w:cs="宋体"/>
              </w:rPr>
              <w:t>软件著作权</w:t>
            </w:r>
          </w:p>
        </w:tc>
        <w:tc>
          <w:tcPr>
            <w:tcW w:w="707" w:type="dxa"/>
            <w:vAlign w:val="center"/>
          </w:tcPr>
          <w:p w14:paraId="3B59EFA7">
            <w:pPr>
              <w:spacing w:line="240" w:lineRule="auto"/>
              <w:jc w:val="center"/>
              <w:rPr>
                <w:rFonts w:ascii="宋体" w:hAnsi="宋体" w:cs="仿宋_GB2312"/>
              </w:rPr>
            </w:pPr>
            <w:r>
              <w:rPr>
                <w:rFonts w:ascii="宋体" w:hAnsi="宋体" w:cs="仿宋_GB2312"/>
              </w:rPr>
              <w:t>8</w:t>
            </w:r>
          </w:p>
        </w:tc>
        <w:tc>
          <w:tcPr>
            <w:tcW w:w="5280" w:type="dxa"/>
            <w:vAlign w:val="center"/>
          </w:tcPr>
          <w:p w14:paraId="044BAEB7">
            <w:pPr>
              <w:spacing w:line="240" w:lineRule="auto"/>
              <w:rPr>
                <w:rFonts w:ascii="宋体" w:hAnsi="宋体" w:cs="仿宋_GB2312"/>
              </w:rPr>
            </w:pPr>
            <w:r>
              <w:rPr>
                <w:rFonts w:hint="eastAsia" w:ascii="宋体" w:hAnsi="宋体" w:cs="仿宋_GB2312"/>
              </w:rPr>
              <w:t>1.具有基于信创国产化管理软件相关著作权，得</w:t>
            </w:r>
            <w:r>
              <w:rPr>
                <w:rFonts w:ascii="宋体" w:hAnsi="宋体" w:cs="仿宋_GB2312"/>
              </w:rPr>
              <w:t>2</w:t>
            </w:r>
            <w:r>
              <w:rPr>
                <w:rFonts w:hint="eastAsia" w:ascii="宋体" w:hAnsi="宋体" w:cs="仿宋_GB2312"/>
              </w:rPr>
              <w:t>分。</w:t>
            </w:r>
          </w:p>
          <w:p w14:paraId="667A5C2C">
            <w:pPr>
              <w:spacing w:line="240" w:lineRule="auto"/>
              <w:rPr>
                <w:rFonts w:ascii="宋体" w:hAnsi="宋体" w:cs="仿宋_GB2312"/>
              </w:rPr>
            </w:pPr>
            <w:r>
              <w:rPr>
                <w:rFonts w:hint="eastAsia" w:ascii="宋体" w:hAnsi="宋体" w:cs="仿宋_GB2312"/>
              </w:rPr>
              <w:t>2.具有医院科研信息管理平台类相关著作权，得</w:t>
            </w:r>
            <w:r>
              <w:rPr>
                <w:rFonts w:ascii="宋体" w:hAnsi="宋体" w:cs="仿宋_GB2312"/>
              </w:rPr>
              <w:t>2</w:t>
            </w:r>
            <w:r>
              <w:rPr>
                <w:rFonts w:hint="eastAsia" w:ascii="宋体" w:hAnsi="宋体" w:cs="仿宋_GB2312"/>
              </w:rPr>
              <w:t>分。</w:t>
            </w:r>
          </w:p>
          <w:p w14:paraId="7F2EFEF0">
            <w:pPr>
              <w:spacing w:line="240" w:lineRule="auto"/>
              <w:rPr>
                <w:rFonts w:ascii="宋体" w:hAnsi="宋体" w:cs="仿宋_GB2312"/>
              </w:rPr>
            </w:pPr>
            <w:r>
              <w:rPr>
                <w:rFonts w:ascii="宋体" w:hAnsi="宋体" w:cs="仿宋_GB2312"/>
              </w:rPr>
              <w:t>3</w:t>
            </w:r>
            <w:r>
              <w:rPr>
                <w:rFonts w:hint="eastAsia" w:ascii="宋体" w:hAnsi="宋体" w:cs="仿宋_GB2312"/>
              </w:rPr>
              <w:t>.医院业务流程类管理软件相关著作权，得2分。</w:t>
            </w:r>
          </w:p>
          <w:p w14:paraId="48F74029">
            <w:pPr>
              <w:spacing w:line="240" w:lineRule="auto"/>
              <w:rPr>
                <w:rFonts w:ascii="宋体" w:hAnsi="宋体" w:cs="仿宋_GB2312"/>
              </w:rPr>
            </w:pPr>
            <w:r>
              <w:rPr>
                <w:rFonts w:ascii="宋体" w:hAnsi="宋体" w:cs="仿宋_GB2312"/>
              </w:rPr>
              <w:t>4</w:t>
            </w:r>
            <w:r>
              <w:rPr>
                <w:rFonts w:hint="eastAsia" w:ascii="宋体" w:hAnsi="宋体" w:cs="仿宋_GB2312"/>
              </w:rPr>
              <w:t>.医院信息管理系统软件相关著作权，得2分。</w:t>
            </w:r>
          </w:p>
        </w:tc>
      </w:tr>
      <w:tr w14:paraId="3C5B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2" w:hRule="atLeast"/>
        </w:trPr>
        <w:tc>
          <w:tcPr>
            <w:tcW w:w="595" w:type="dxa"/>
            <w:vAlign w:val="center"/>
          </w:tcPr>
          <w:p w14:paraId="5A0FE258">
            <w:pPr>
              <w:widowControl/>
              <w:spacing w:line="240" w:lineRule="auto"/>
              <w:jc w:val="center"/>
              <w:rPr>
                <w:rFonts w:ascii="宋体" w:hAnsi="宋体" w:cs="宋体"/>
              </w:rPr>
            </w:pPr>
            <w:r>
              <w:rPr>
                <w:rFonts w:hint="eastAsia" w:ascii="宋体" w:hAnsi="宋体" w:cs="宋体"/>
              </w:rPr>
              <w:t>3</w:t>
            </w:r>
          </w:p>
        </w:tc>
        <w:tc>
          <w:tcPr>
            <w:tcW w:w="1810" w:type="dxa"/>
            <w:vAlign w:val="center"/>
          </w:tcPr>
          <w:p w14:paraId="2E6B260F">
            <w:pPr>
              <w:spacing w:line="240" w:lineRule="auto"/>
              <w:jc w:val="center"/>
              <w:rPr>
                <w:rFonts w:ascii="宋体" w:hAnsi="宋体" w:cs="仿宋_GB2312"/>
              </w:rPr>
            </w:pPr>
            <w:r>
              <w:rPr>
                <w:rFonts w:hint="eastAsia" w:ascii="宋体" w:hAnsi="宋体" w:cs="仿宋_GB2312"/>
              </w:rPr>
              <w:t>企业实力</w:t>
            </w:r>
          </w:p>
        </w:tc>
        <w:tc>
          <w:tcPr>
            <w:tcW w:w="707" w:type="dxa"/>
            <w:vAlign w:val="center"/>
          </w:tcPr>
          <w:p w14:paraId="5F9FC9FD">
            <w:pPr>
              <w:spacing w:line="240" w:lineRule="auto"/>
              <w:jc w:val="center"/>
              <w:rPr>
                <w:rFonts w:ascii="宋体" w:hAnsi="宋体" w:cs="仿宋_GB2312"/>
              </w:rPr>
            </w:pPr>
            <w:r>
              <w:rPr>
                <w:rFonts w:ascii="宋体" w:hAnsi="宋体" w:cs="仿宋_GB2312"/>
              </w:rPr>
              <w:t>6</w:t>
            </w:r>
          </w:p>
        </w:tc>
        <w:tc>
          <w:tcPr>
            <w:tcW w:w="5280" w:type="dxa"/>
            <w:vAlign w:val="center"/>
          </w:tcPr>
          <w:p w14:paraId="1014E620">
            <w:pPr>
              <w:spacing w:line="240" w:lineRule="auto"/>
              <w:rPr>
                <w:rFonts w:ascii="宋体" w:hAnsi="宋体" w:cs="仿宋_GB2312"/>
              </w:rPr>
            </w:pPr>
            <w:r>
              <w:rPr>
                <w:rFonts w:hint="eastAsia" w:ascii="宋体" w:hAnsi="宋体" w:cs="仿宋_GB2312"/>
              </w:rPr>
              <w:t>1.具有有效的信息技术服务管理体系认证证书，得2分。</w:t>
            </w:r>
          </w:p>
          <w:p w14:paraId="0CCD0CBB">
            <w:pPr>
              <w:spacing w:line="240" w:lineRule="auto"/>
              <w:rPr>
                <w:rFonts w:ascii="宋体" w:hAnsi="宋体" w:cs="仿宋_GB2312"/>
              </w:rPr>
            </w:pPr>
            <w:r>
              <w:rPr>
                <w:rFonts w:hint="eastAsia" w:ascii="宋体" w:hAnsi="宋体" w:cs="仿宋_GB2312"/>
              </w:rPr>
              <w:t>2.具有有效的信息安全管理体系认证证书，得2分。</w:t>
            </w:r>
          </w:p>
          <w:p w14:paraId="316E10C4">
            <w:pPr>
              <w:spacing w:line="240" w:lineRule="auto"/>
              <w:rPr>
                <w:rFonts w:ascii="宋体" w:hAnsi="宋体" w:cs="仿宋_GB2312"/>
              </w:rPr>
            </w:pPr>
            <w:r>
              <w:rPr>
                <w:rFonts w:ascii="宋体" w:hAnsi="宋体" w:cs="仿宋_GB2312"/>
              </w:rPr>
              <w:t>3</w:t>
            </w:r>
            <w:r>
              <w:rPr>
                <w:rFonts w:hint="eastAsia" w:ascii="宋体" w:hAnsi="宋体" w:cs="仿宋_GB2312"/>
              </w:rPr>
              <w:t>.具备有效期内的ISO27001信息安全管理体系认证证书的证明，得</w:t>
            </w:r>
            <w:r>
              <w:rPr>
                <w:rFonts w:ascii="宋体" w:hAnsi="宋体" w:cs="仿宋_GB2312"/>
              </w:rPr>
              <w:t>1</w:t>
            </w:r>
            <w:r>
              <w:rPr>
                <w:rFonts w:hint="eastAsia" w:ascii="宋体" w:hAnsi="宋体" w:cs="仿宋_GB2312"/>
              </w:rPr>
              <w:t>分。</w:t>
            </w:r>
          </w:p>
          <w:p w14:paraId="6685F6D5">
            <w:pPr>
              <w:spacing w:line="240" w:lineRule="auto"/>
              <w:rPr>
                <w:rFonts w:ascii="宋体" w:hAnsi="宋体" w:cs="仿宋_GB2312"/>
              </w:rPr>
            </w:pPr>
            <w:r>
              <w:rPr>
                <w:rFonts w:ascii="宋体" w:hAnsi="宋体" w:cs="仿宋_GB2312"/>
              </w:rPr>
              <w:t>4</w:t>
            </w:r>
            <w:r>
              <w:rPr>
                <w:rFonts w:hint="eastAsia" w:ascii="宋体" w:hAnsi="宋体" w:cs="仿宋_GB2312"/>
              </w:rPr>
              <w:t>.具备有效期内的ISO9000质量管理体系认证证书证明，得</w:t>
            </w:r>
            <w:r>
              <w:rPr>
                <w:rFonts w:ascii="宋体" w:hAnsi="宋体" w:cs="仿宋_GB2312"/>
              </w:rPr>
              <w:t>1</w:t>
            </w:r>
            <w:r>
              <w:rPr>
                <w:rFonts w:hint="eastAsia" w:ascii="宋体" w:hAnsi="宋体" w:cs="仿宋_GB2312"/>
              </w:rPr>
              <w:t>分。</w:t>
            </w:r>
          </w:p>
        </w:tc>
      </w:tr>
      <w:tr w14:paraId="59A2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atLeast"/>
        </w:trPr>
        <w:tc>
          <w:tcPr>
            <w:tcW w:w="595" w:type="dxa"/>
            <w:vAlign w:val="center"/>
          </w:tcPr>
          <w:p w14:paraId="131D4215">
            <w:pPr>
              <w:widowControl/>
              <w:spacing w:line="240" w:lineRule="auto"/>
              <w:jc w:val="center"/>
              <w:rPr>
                <w:rFonts w:ascii="宋体" w:hAnsi="宋体" w:cs="宋体"/>
                <w:strike/>
              </w:rPr>
            </w:pPr>
            <w:r>
              <w:rPr>
                <w:rFonts w:hint="eastAsia" w:ascii="宋体" w:hAnsi="宋体" w:cs="宋体"/>
                <w:strike/>
              </w:rPr>
              <w:t>4</w:t>
            </w:r>
          </w:p>
        </w:tc>
        <w:tc>
          <w:tcPr>
            <w:tcW w:w="1810" w:type="dxa"/>
            <w:vAlign w:val="center"/>
          </w:tcPr>
          <w:p w14:paraId="647CDF8A">
            <w:pPr>
              <w:widowControl/>
              <w:spacing w:line="240" w:lineRule="auto"/>
              <w:jc w:val="center"/>
              <w:rPr>
                <w:rFonts w:ascii="宋体" w:hAnsi="宋体" w:cs="宋体"/>
              </w:rPr>
            </w:pPr>
            <w:r>
              <w:rPr>
                <w:rFonts w:hint="eastAsia" w:ascii="宋体" w:hAnsi="宋体" w:cs="宋体"/>
              </w:rPr>
              <w:t>国产化适配</w:t>
            </w:r>
          </w:p>
        </w:tc>
        <w:tc>
          <w:tcPr>
            <w:tcW w:w="707" w:type="dxa"/>
            <w:vAlign w:val="center"/>
          </w:tcPr>
          <w:p w14:paraId="2598AF04">
            <w:pPr>
              <w:spacing w:line="240" w:lineRule="auto"/>
              <w:jc w:val="center"/>
              <w:rPr>
                <w:rFonts w:ascii="宋体" w:hAnsi="宋体" w:cs="仿宋_GB2312"/>
              </w:rPr>
            </w:pPr>
            <w:r>
              <w:rPr>
                <w:rFonts w:hint="eastAsia" w:ascii="宋体" w:hAnsi="宋体" w:cs="仿宋_GB2312"/>
              </w:rPr>
              <w:t>2</w:t>
            </w:r>
          </w:p>
        </w:tc>
        <w:tc>
          <w:tcPr>
            <w:tcW w:w="5280" w:type="dxa"/>
            <w:vAlign w:val="center"/>
          </w:tcPr>
          <w:p w14:paraId="6D7EE5EC">
            <w:pPr>
              <w:widowControl/>
              <w:spacing w:line="240" w:lineRule="auto"/>
              <w:jc w:val="left"/>
              <w:rPr>
                <w:rFonts w:ascii="Noto Serif CJK SC Light" w:hAnsi="Noto Serif CJK SC Light" w:eastAsia="Noto Serif CJK SC Light" w:cs="宋体"/>
                <w:kern w:val="0"/>
              </w:rPr>
            </w:pPr>
            <w:r>
              <w:rPr>
                <w:rFonts w:hint="eastAsia" w:ascii="Noto Serif CJK SC Light" w:hAnsi="Noto Serif CJK SC Light" w:eastAsia="Noto Serif CJK SC Light" w:cs="宋体"/>
                <w:kern w:val="0"/>
              </w:rPr>
              <w:t>1.提供所供产品与国产应用服务器软件兼容性认证证书，得</w:t>
            </w:r>
            <w:r>
              <w:rPr>
                <w:rFonts w:hint="eastAsia" w:ascii="宋体" w:hAnsi="宋体" w:cs="仿宋_GB2312"/>
              </w:rPr>
              <w:t>0.5</w:t>
            </w:r>
            <w:r>
              <w:rPr>
                <w:rFonts w:hint="eastAsia" w:ascii="Noto Serif CJK SC Light" w:hAnsi="Noto Serif CJK SC Light" w:eastAsia="Noto Serif CJK SC Light" w:cs="宋体"/>
                <w:kern w:val="0"/>
              </w:rPr>
              <w:t>分。</w:t>
            </w:r>
          </w:p>
          <w:p w14:paraId="384774CA">
            <w:pPr>
              <w:widowControl/>
              <w:spacing w:line="240" w:lineRule="auto"/>
              <w:jc w:val="left"/>
              <w:rPr>
                <w:rFonts w:ascii="Noto Serif CJK SC Light" w:hAnsi="Noto Serif CJK SC Light" w:eastAsia="Noto Serif CJK SC Light" w:cs="宋体"/>
                <w:kern w:val="0"/>
              </w:rPr>
            </w:pPr>
            <w:r>
              <w:rPr>
                <w:rFonts w:ascii="Noto Serif CJK SC Light" w:hAnsi="Noto Serif CJK SC Light" w:eastAsia="Noto Serif CJK SC Light" w:cs="宋体"/>
                <w:kern w:val="0"/>
              </w:rPr>
              <w:t>2.</w:t>
            </w:r>
            <w:r>
              <w:rPr>
                <w:rFonts w:hint="eastAsia" w:ascii="Noto Serif CJK SC Light" w:hAnsi="Noto Serif CJK SC Light" w:eastAsia="Noto Serif CJK SC Light" w:cs="宋体"/>
                <w:kern w:val="0"/>
              </w:rPr>
              <w:t>提供所供产品与国产操作系统适配性认证证书，得0.5分。</w:t>
            </w:r>
          </w:p>
          <w:p w14:paraId="28582C25">
            <w:pPr>
              <w:spacing w:line="240" w:lineRule="auto"/>
              <w:rPr>
                <w:rFonts w:ascii="Noto Serif CJK SC Light" w:hAnsi="Noto Serif CJK SC Light" w:eastAsia="Noto Serif CJK SC Light" w:cs="宋体"/>
                <w:kern w:val="0"/>
              </w:rPr>
            </w:pPr>
            <w:r>
              <w:rPr>
                <w:rFonts w:ascii="Noto Serif CJK SC Light" w:hAnsi="Noto Serif CJK SC Light" w:eastAsia="Noto Serif CJK SC Light" w:cs="宋体"/>
                <w:kern w:val="0"/>
              </w:rPr>
              <w:t>3</w:t>
            </w:r>
            <w:r>
              <w:rPr>
                <w:rFonts w:hint="eastAsia" w:ascii="Noto Serif CJK SC Light" w:hAnsi="Noto Serif CJK SC Light" w:eastAsia="Noto Serif CJK SC Light" w:cs="宋体"/>
                <w:kern w:val="0"/>
              </w:rPr>
              <w:t>．提供所供产品与国产数据库系统兼容性认证证书，得1分。</w:t>
            </w:r>
          </w:p>
        </w:tc>
      </w:tr>
      <w:tr w14:paraId="16B5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595" w:type="dxa"/>
            <w:vAlign w:val="center"/>
          </w:tcPr>
          <w:p w14:paraId="4492034E">
            <w:pPr>
              <w:widowControl/>
              <w:spacing w:line="240" w:lineRule="auto"/>
              <w:jc w:val="center"/>
              <w:rPr>
                <w:rFonts w:ascii="宋体" w:hAnsi="宋体" w:cs="宋体"/>
              </w:rPr>
            </w:pPr>
            <w:r>
              <w:rPr>
                <w:rFonts w:hint="eastAsia" w:ascii="宋体" w:hAnsi="宋体" w:cs="宋体"/>
              </w:rPr>
              <w:t>5</w:t>
            </w:r>
          </w:p>
        </w:tc>
        <w:tc>
          <w:tcPr>
            <w:tcW w:w="1810" w:type="dxa"/>
            <w:vAlign w:val="center"/>
          </w:tcPr>
          <w:p w14:paraId="30959543">
            <w:pPr>
              <w:widowControl/>
              <w:spacing w:line="240" w:lineRule="auto"/>
              <w:jc w:val="center"/>
              <w:rPr>
                <w:rFonts w:ascii="宋体" w:hAnsi="宋体" w:cs="宋体"/>
              </w:rPr>
            </w:pPr>
            <w:r>
              <w:rPr>
                <w:rFonts w:hint="eastAsia" w:ascii="宋体" w:hAnsi="宋体" w:cs="宋体"/>
              </w:rPr>
              <w:t>相关证书</w:t>
            </w:r>
          </w:p>
        </w:tc>
        <w:tc>
          <w:tcPr>
            <w:tcW w:w="707" w:type="dxa"/>
            <w:vAlign w:val="center"/>
          </w:tcPr>
          <w:p w14:paraId="758C0194">
            <w:pPr>
              <w:widowControl/>
              <w:spacing w:line="240" w:lineRule="auto"/>
              <w:jc w:val="center"/>
              <w:rPr>
                <w:rFonts w:ascii="宋体" w:hAnsi="宋体" w:cs="宋体"/>
              </w:rPr>
            </w:pPr>
            <w:r>
              <w:rPr>
                <w:rFonts w:hint="eastAsia" w:ascii="宋体" w:hAnsi="宋体" w:cs="宋体"/>
              </w:rPr>
              <w:t>4</w:t>
            </w:r>
          </w:p>
        </w:tc>
        <w:tc>
          <w:tcPr>
            <w:tcW w:w="5280" w:type="dxa"/>
            <w:vAlign w:val="center"/>
          </w:tcPr>
          <w:p w14:paraId="17258D98">
            <w:pPr>
              <w:spacing w:line="240" w:lineRule="auto"/>
              <w:rPr>
                <w:rFonts w:ascii="宋体" w:hAnsi="宋体" w:cs="仿宋_GB2312"/>
              </w:rPr>
            </w:pPr>
            <w:r>
              <w:rPr>
                <w:rFonts w:hint="eastAsia" w:ascii="宋体" w:hAnsi="宋体" w:cs="仿宋_GB2312"/>
              </w:rPr>
              <w:t>具有有效的中国网络安全审查与认证中心颁发的《信息安全服务资质认证证书》，符合信息系统安全集成服务资质要求三级或以上，得4分。</w:t>
            </w:r>
          </w:p>
        </w:tc>
      </w:tr>
    </w:tbl>
    <w:p w14:paraId="5495FB82">
      <w:pPr>
        <w:numPr>
          <w:ilvl w:val="0"/>
          <w:numId w:val="17"/>
        </w:numPr>
        <w:spacing w:line="240" w:lineRule="auto"/>
        <w:rPr>
          <w:rFonts w:ascii="Noto Serif CJK SC Light" w:hAnsi="Noto Serif CJK SC Light" w:eastAsia="Noto Serif CJK SC Light" w:cs="宋体"/>
        </w:rPr>
      </w:pPr>
      <w:r>
        <w:rPr>
          <w:rFonts w:hint="eastAsia" w:ascii="Noto Serif CJK SC Light" w:hAnsi="Noto Serif CJK SC Light" w:eastAsia="Noto Serif CJK SC Light" w:cs="宋体"/>
        </w:rPr>
        <w:t>技术部分</w:t>
      </w: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94"/>
        <w:gridCol w:w="798"/>
        <w:gridCol w:w="5293"/>
      </w:tblGrid>
      <w:tr w14:paraId="4335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4" w:type="dxa"/>
            <w:vAlign w:val="center"/>
          </w:tcPr>
          <w:p w14:paraId="18DE7D53">
            <w:pPr>
              <w:widowControl/>
              <w:spacing w:line="276" w:lineRule="auto"/>
              <w:ind w:left="-122" w:leftChars="-51" w:right="-163" w:rightChars="-68"/>
              <w:jc w:val="center"/>
              <w:rPr>
                <w:rFonts w:ascii="宋体" w:hAnsi="宋体" w:cs="宋体"/>
              </w:rPr>
            </w:pPr>
            <w:r>
              <w:rPr>
                <w:rFonts w:hint="eastAsia" w:ascii="宋体" w:hAnsi="宋体" w:cs="宋体"/>
              </w:rPr>
              <w:t>序号</w:t>
            </w:r>
          </w:p>
        </w:tc>
        <w:tc>
          <w:tcPr>
            <w:tcW w:w="1594" w:type="dxa"/>
            <w:vAlign w:val="center"/>
          </w:tcPr>
          <w:p w14:paraId="2A7A9D7D">
            <w:pPr>
              <w:widowControl/>
              <w:spacing w:line="276" w:lineRule="auto"/>
              <w:ind w:left="-82" w:leftChars="-34"/>
              <w:jc w:val="center"/>
              <w:rPr>
                <w:rFonts w:ascii="宋体" w:hAnsi="宋体" w:cs="宋体"/>
              </w:rPr>
            </w:pPr>
            <w:r>
              <w:rPr>
                <w:rFonts w:hint="eastAsia" w:ascii="宋体" w:hAnsi="宋体" w:cs="宋体"/>
              </w:rPr>
              <w:t>评分因素分项</w:t>
            </w:r>
          </w:p>
        </w:tc>
        <w:tc>
          <w:tcPr>
            <w:tcW w:w="798" w:type="dxa"/>
            <w:vAlign w:val="center"/>
          </w:tcPr>
          <w:p w14:paraId="3CF89110">
            <w:pPr>
              <w:widowControl/>
              <w:spacing w:line="276" w:lineRule="auto"/>
              <w:jc w:val="center"/>
              <w:rPr>
                <w:rFonts w:ascii="宋体" w:hAnsi="宋体" w:cs="宋体"/>
              </w:rPr>
            </w:pPr>
            <w:r>
              <w:rPr>
                <w:rFonts w:hint="eastAsia" w:ascii="宋体" w:hAnsi="宋体" w:cs="宋体"/>
              </w:rPr>
              <w:t>分值</w:t>
            </w:r>
          </w:p>
        </w:tc>
        <w:tc>
          <w:tcPr>
            <w:tcW w:w="5293" w:type="dxa"/>
            <w:vAlign w:val="center"/>
          </w:tcPr>
          <w:p w14:paraId="26E1E5AF">
            <w:pPr>
              <w:widowControl/>
              <w:spacing w:line="276" w:lineRule="auto"/>
              <w:jc w:val="center"/>
              <w:rPr>
                <w:rFonts w:ascii="宋体" w:hAnsi="宋体" w:cs="宋体"/>
              </w:rPr>
            </w:pPr>
            <w:r>
              <w:rPr>
                <w:rFonts w:hint="eastAsia" w:ascii="宋体" w:hAnsi="宋体" w:cs="宋体"/>
              </w:rPr>
              <w:t>评分标准</w:t>
            </w:r>
          </w:p>
        </w:tc>
      </w:tr>
      <w:tr w14:paraId="46AA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74" w:type="dxa"/>
            <w:vAlign w:val="center"/>
          </w:tcPr>
          <w:p w14:paraId="6CF32F29">
            <w:pPr>
              <w:widowControl/>
              <w:spacing w:line="276" w:lineRule="auto"/>
              <w:jc w:val="center"/>
              <w:rPr>
                <w:rFonts w:ascii="宋体" w:hAnsi="宋体" w:cs="宋体"/>
              </w:rPr>
            </w:pPr>
            <w:r>
              <w:rPr>
                <w:rFonts w:hint="eastAsia" w:ascii="宋体" w:hAnsi="宋体" w:cs="宋体"/>
              </w:rPr>
              <w:t>1</w:t>
            </w:r>
          </w:p>
        </w:tc>
        <w:tc>
          <w:tcPr>
            <w:tcW w:w="1594" w:type="dxa"/>
            <w:vAlign w:val="center"/>
          </w:tcPr>
          <w:p w14:paraId="48653001">
            <w:pPr>
              <w:widowControl/>
              <w:spacing w:line="276" w:lineRule="auto"/>
              <w:jc w:val="center"/>
              <w:rPr>
                <w:rFonts w:ascii="宋体" w:hAnsi="宋体" w:cs="宋体"/>
              </w:rPr>
            </w:pPr>
            <w:r>
              <w:rPr>
                <w:rFonts w:hint="eastAsia" w:ascii="宋体" w:hAnsi="宋体" w:cs="Arial"/>
              </w:rPr>
              <w:t>对采购需求的响应程度</w:t>
            </w:r>
          </w:p>
        </w:tc>
        <w:tc>
          <w:tcPr>
            <w:tcW w:w="798" w:type="dxa"/>
            <w:vAlign w:val="center"/>
          </w:tcPr>
          <w:p w14:paraId="6CEF76CB">
            <w:pPr>
              <w:widowControl/>
              <w:spacing w:line="276" w:lineRule="auto"/>
              <w:jc w:val="center"/>
              <w:rPr>
                <w:rFonts w:ascii="宋体" w:hAnsi="宋体" w:cs="宋体"/>
              </w:rPr>
            </w:pPr>
            <w:r>
              <w:rPr>
                <w:rFonts w:hint="eastAsia" w:ascii="宋体" w:hAnsi="宋体" w:cs="宋体"/>
              </w:rPr>
              <w:t>30</w:t>
            </w:r>
          </w:p>
        </w:tc>
        <w:tc>
          <w:tcPr>
            <w:tcW w:w="5293" w:type="dxa"/>
            <w:vAlign w:val="center"/>
          </w:tcPr>
          <w:p w14:paraId="39AD412F">
            <w:pPr>
              <w:spacing w:line="240" w:lineRule="auto"/>
              <w:rPr>
                <w:rFonts w:ascii="宋体" w:hAnsi="宋体" w:cs="宋体"/>
                <w:kern w:val="0"/>
              </w:rPr>
            </w:pPr>
            <w:r>
              <w:rPr>
                <w:rFonts w:hint="eastAsia" w:ascii="Arial" w:hAnsi="Arial" w:cs="Arial"/>
              </w:rPr>
              <w:t>根据供应商</w:t>
            </w:r>
            <w:r>
              <w:rPr>
                <w:rFonts w:hint="eastAsia" w:ascii="宋体" w:hAnsi="宋体" w:cs="宋体"/>
              </w:rPr>
              <w:t>对采购需求的响应情况进行综合评审：完全满足</w:t>
            </w:r>
            <w:r>
              <w:rPr>
                <w:rFonts w:hint="eastAsia" w:ascii="Arial" w:hAnsi="Arial" w:cs="Arial"/>
              </w:rPr>
              <w:t>需求文件“基本要求及功能需求”内容</w:t>
            </w:r>
            <w:r>
              <w:rPr>
                <w:rFonts w:hint="eastAsia" w:ascii="宋体" w:hAnsi="宋体" w:cs="宋体"/>
                <w:kern w:val="0"/>
              </w:rPr>
              <w:t>得30分，一项</w:t>
            </w:r>
            <w:bookmarkStart w:id="16" w:name="OLE_LINK2"/>
            <w:r>
              <w:rPr>
                <w:rFonts w:hint="eastAsia" w:ascii="宋体" w:hAnsi="宋体" w:cs="宋体"/>
                <w:kern w:val="0"/>
              </w:rPr>
              <w:t>▲</w:t>
            </w:r>
            <w:bookmarkEnd w:id="16"/>
            <w:r>
              <w:rPr>
                <w:rFonts w:hint="eastAsia" w:ascii="宋体" w:hAnsi="宋体" w:cs="宋体"/>
                <w:kern w:val="0"/>
              </w:rPr>
              <w:t>指标不满足扣3分；一项一般指标不满足扣0.2分，本项最低得分为0分。正偏离不加分，扣完为止。</w:t>
            </w:r>
          </w:p>
        </w:tc>
      </w:tr>
      <w:tr w14:paraId="49D6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14:paraId="13A05E34">
            <w:pPr>
              <w:widowControl/>
              <w:spacing w:line="276" w:lineRule="auto"/>
              <w:jc w:val="center"/>
              <w:rPr>
                <w:rFonts w:ascii="宋体" w:hAnsi="宋体" w:cs="宋体"/>
              </w:rPr>
            </w:pPr>
            <w:r>
              <w:rPr>
                <w:rFonts w:hint="eastAsia" w:ascii="宋体" w:hAnsi="宋体" w:cs="宋体"/>
              </w:rPr>
              <w:t>2</w:t>
            </w:r>
          </w:p>
        </w:tc>
        <w:tc>
          <w:tcPr>
            <w:tcW w:w="1594" w:type="dxa"/>
            <w:vAlign w:val="center"/>
          </w:tcPr>
          <w:p w14:paraId="0A4AB168">
            <w:pPr>
              <w:widowControl/>
              <w:spacing w:line="276" w:lineRule="auto"/>
              <w:jc w:val="center"/>
              <w:rPr>
                <w:rFonts w:ascii="宋体" w:hAnsi="宋体" w:cs="宋体"/>
              </w:rPr>
            </w:pPr>
            <w:r>
              <w:rPr>
                <w:rFonts w:hint="eastAsia" w:ascii="宋体" w:hAnsi="宋体" w:cs="宋体"/>
              </w:rPr>
              <w:t>项目实施</w:t>
            </w:r>
          </w:p>
          <w:p w14:paraId="6E84A551">
            <w:pPr>
              <w:widowControl/>
              <w:spacing w:line="276" w:lineRule="auto"/>
              <w:jc w:val="center"/>
              <w:rPr>
                <w:rFonts w:ascii="宋体" w:hAnsi="宋体" w:cs="宋体"/>
              </w:rPr>
            </w:pPr>
            <w:r>
              <w:rPr>
                <w:rFonts w:hint="eastAsia" w:ascii="宋体" w:hAnsi="宋体" w:cs="宋体"/>
              </w:rPr>
              <w:t>方案</w:t>
            </w:r>
          </w:p>
        </w:tc>
        <w:tc>
          <w:tcPr>
            <w:tcW w:w="798" w:type="dxa"/>
            <w:vAlign w:val="center"/>
          </w:tcPr>
          <w:p w14:paraId="71C6F9A7">
            <w:pPr>
              <w:widowControl/>
              <w:spacing w:line="276" w:lineRule="auto"/>
              <w:jc w:val="center"/>
              <w:rPr>
                <w:rFonts w:ascii="宋体" w:hAnsi="宋体" w:cs="宋体"/>
              </w:rPr>
            </w:pPr>
            <w:r>
              <w:rPr>
                <w:rFonts w:ascii="宋体" w:hAnsi="宋体" w:cs="宋体"/>
              </w:rPr>
              <w:t>8</w:t>
            </w:r>
          </w:p>
        </w:tc>
        <w:tc>
          <w:tcPr>
            <w:tcW w:w="5293" w:type="dxa"/>
            <w:vAlign w:val="center"/>
          </w:tcPr>
          <w:p w14:paraId="796464CA">
            <w:pPr>
              <w:spacing w:line="240" w:lineRule="auto"/>
              <w:rPr>
                <w:rFonts w:ascii="宋体" w:hAnsi="宋体" w:cs="宋体"/>
                <w:kern w:val="0"/>
              </w:rPr>
            </w:pPr>
            <w:r>
              <w:rPr>
                <w:rFonts w:hint="eastAsia" w:ascii="宋体" w:hAnsi="宋体" w:cs="宋体"/>
                <w:kern w:val="0"/>
              </w:rPr>
              <w:t>根据供应商提供的针对本项目的“项目实施方案”进行综合评审：</w:t>
            </w:r>
          </w:p>
          <w:p w14:paraId="1B7B9398">
            <w:pPr>
              <w:snapToGrid w:val="0"/>
              <w:spacing w:line="240" w:lineRule="auto"/>
              <w:jc w:val="left"/>
              <w:rPr>
                <w:rFonts w:ascii="宋体" w:hAnsi="宋体" w:cs="宋体"/>
              </w:rPr>
            </w:pPr>
            <w:r>
              <w:rPr>
                <w:rFonts w:hint="eastAsia" w:ascii="宋体" w:hAnsi="宋体" w:cs="宋体"/>
              </w:rPr>
              <w:t>1.提供的项目实施方案完整合理、切实可行，内容中包含具体实施计划，完全满足或优于采购需求，得</w:t>
            </w:r>
            <w:r>
              <w:rPr>
                <w:rFonts w:ascii="宋体" w:hAnsi="宋体" w:cs="宋体"/>
              </w:rPr>
              <w:t>8</w:t>
            </w:r>
            <w:r>
              <w:rPr>
                <w:rFonts w:hint="eastAsia" w:ascii="宋体" w:hAnsi="宋体" w:cs="宋体"/>
              </w:rPr>
              <w:t>分；</w:t>
            </w:r>
          </w:p>
          <w:p w14:paraId="6ED9EB95">
            <w:pPr>
              <w:snapToGrid w:val="0"/>
              <w:spacing w:line="240" w:lineRule="auto"/>
              <w:jc w:val="left"/>
              <w:rPr>
                <w:rFonts w:ascii="宋体" w:hAnsi="宋体" w:cs="宋体"/>
              </w:rPr>
            </w:pPr>
            <w:r>
              <w:rPr>
                <w:rFonts w:hint="eastAsia" w:ascii="宋体" w:hAnsi="宋体" w:cs="宋体"/>
              </w:rPr>
              <w:t>2.提供的项目实施方案较贴合项目实际情况，内容中包括具体实施计划，得</w:t>
            </w:r>
            <w:r>
              <w:rPr>
                <w:rFonts w:hint="eastAsia" w:ascii="宋体" w:hAnsi="宋体" w:cs="宋体"/>
                <w:lang w:val="en-US" w:eastAsia="zh-CN"/>
              </w:rPr>
              <w:t>4</w:t>
            </w:r>
            <w:r>
              <w:rPr>
                <w:rFonts w:hint="eastAsia" w:ascii="宋体" w:hAnsi="宋体" w:cs="宋体"/>
              </w:rPr>
              <w:t>分；</w:t>
            </w:r>
          </w:p>
          <w:p w14:paraId="392FAA44">
            <w:pPr>
              <w:snapToGrid w:val="0"/>
              <w:spacing w:line="240" w:lineRule="auto"/>
              <w:jc w:val="left"/>
              <w:rPr>
                <w:rFonts w:ascii="宋体" w:hAnsi="宋体" w:cs="宋体"/>
              </w:rPr>
            </w:pPr>
            <w:r>
              <w:rPr>
                <w:rFonts w:hint="eastAsia" w:ascii="宋体" w:hAnsi="宋体" w:cs="宋体"/>
              </w:rPr>
              <w:t>3.提供的项目实施方案不符合项目实际情况，得</w:t>
            </w:r>
            <w:r>
              <w:rPr>
                <w:rFonts w:hint="eastAsia" w:ascii="宋体" w:hAnsi="宋体" w:cs="宋体"/>
                <w:lang w:val="en-US" w:eastAsia="zh-CN"/>
              </w:rPr>
              <w:t>1</w:t>
            </w:r>
            <w:r>
              <w:rPr>
                <w:rFonts w:hint="eastAsia" w:ascii="宋体" w:hAnsi="宋体" w:cs="宋体"/>
              </w:rPr>
              <w:t>分；</w:t>
            </w:r>
          </w:p>
          <w:p w14:paraId="74A3C559">
            <w:pPr>
              <w:snapToGrid w:val="0"/>
              <w:spacing w:line="240" w:lineRule="auto"/>
              <w:jc w:val="left"/>
              <w:rPr>
                <w:sz w:val="21"/>
              </w:rPr>
            </w:pPr>
            <w:r>
              <w:rPr>
                <w:rFonts w:hint="eastAsia" w:ascii="宋体" w:hAnsi="宋体" w:cs="宋体"/>
              </w:rPr>
              <w:t>4.未提供实施方案不得分。</w:t>
            </w:r>
          </w:p>
        </w:tc>
      </w:tr>
      <w:tr w14:paraId="55E1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14:paraId="50C00FA8">
            <w:pPr>
              <w:widowControl/>
              <w:spacing w:line="276" w:lineRule="auto"/>
              <w:jc w:val="center"/>
              <w:rPr>
                <w:rFonts w:ascii="宋体" w:hAnsi="宋体" w:cs="宋体"/>
              </w:rPr>
            </w:pPr>
            <w:r>
              <w:rPr>
                <w:rFonts w:hint="eastAsia" w:ascii="宋体" w:hAnsi="宋体" w:cs="宋体"/>
              </w:rPr>
              <w:t>3</w:t>
            </w:r>
          </w:p>
        </w:tc>
        <w:tc>
          <w:tcPr>
            <w:tcW w:w="1594" w:type="dxa"/>
            <w:vAlign w:val="center"/>
          </w:tcPr>
          <w:p w14:paraId="73257E97">
            <w:pPr>
              <w:spacing w:line="240" w:lineRule="auto"/>
              <w:jc w:val="center"/>
              <w:rPr>
                <w:rFonts w:ascii="宋体" w:hAnsi="宋体"/>
              </w:rPr>
            </w:pPr>
            <w:r>
              <w:rPr>
                <w:rFonts w:hint="eastAsia" w:ascii="宋体" w:hAnsi="宋体"/>
              </w:rPr>
              <w:t>人员配备</w:t>
            </w:r>
          </w:p>
        </w:tc>
        <w:tc>
          <w:tcPr>
            <w:tcW w:w="798" w:type="dxa"/>
            <w:vAlign w:val="center"/>
          </w:tcPr>
          <w:p w14:paraId="0076498A">
            <w:pPr>
              <w:widowControl/>
              <w:spacing w:line="240" w:lineRule="auto"/>
              <w:jc w:val="center"/>
              <w:rPr>
                <w:rFonts w:ascii="宋体" w:hAnsi="宋体" w:cs="宋体"/>
              </w:rPr>
            </w:pPr>
            <w:r>
              <w:rPr>
                <w:rFonts w:ascii="宋体" w:hAnsi="宋体" w:cs="宋体"/>
              </w:rPr>
              <w:t>6</w:t>
            </w:r>
          </w:p>
        </w:tc>
        <w:tc>
          <w:tcPr>
            <w:tcW w:w="5293" w:type="dxa"/>
            <w:vAlign w:val="center"/>
          </w:tcPr>
          <w:p w14:paraId="54EFEF26">
            <w:pPr>
              <w:snapToGrid w:val="0"/>
              <w:spacing w:line="240" w:lineRule="auto"/>
              <w:jc w:val="left"/>
              <w:rPr>
                <w:rFonts w:ascii="宋体" w:hAnsi="宋体" w:cs="宋体"/>
              </w:rPr>
            </w:pPr>
            <w:r>
              <w:rPr>
                <w:rFonts w:hint="eastAsia" w:ascii="宋体" w:hAnsi="宋体" w:cs="宋体"/>
              </w:rPr>
              <w:t>根据供应商针对本项目拟派团队情况</w:t>
            </w:r>
            <w:bookmarkStart w:id="17" w:name="OLE_LINK9"/>
            <w:bookmarkStart w:id="18" w:name="OLE_LINK10"/>
            <w:r>
              <w:rPr>
                <w:rFonts w:hint="eastAsia" w:ascii="宋体" w:hAnsi="宋体" w:cs="宋体"/>
              </w:rPr>
              <w:t>：</w:t>
            </w:r>
          </w:p>
          <w:p w14:paraId="13B6719B">
            <w:pPr>
              <w:spacing w:line="240" w:lineRule="auto"/>
              <w:rPr>
                <w:rFonts w:ascii="宋体" w:hAnsi="宋体" w:cs="宋体"/>
                <w:kern w:val="0"/>
              </w:rPr>
            </w:pPr>
            <w:r>
              <w:rPr>
                <w:rFonts w:hint="eastAsia" w:ascii="宋体" w:hAnsi="宋体" w:cs="宋体"/>
              </w:rPr>
              <w:t>1.</w:t>
            </w:r>
            <w:r>
              <w:rPr>
                <w:rFonts w:hint="eastAsia" w:ascii="宋体" w:hAnsi="宋体" w:cs="宋体"/>
                <w:kern w:val="0"/>
              </w:rPr>
              <w:t>团队人员中具有计算机技术与软件专业技术资格（水平）高级证书（系统架构师或系统规划与管理师）的，提供一个证书得</w:t>
            </w:r>
            <w:r>
              <w:rPr>
                <w:rFonts w:hint="eastAsia" w:ascii="宋体" w:hAnsi="宋体" w:cs="宋体"/>
                <w:kern w:val="0"/>
                <w:lang w:val="en-US" w:eastAsia="zh-CN"/>
              </w:rPr>
              <w:t>3</w:t>
            </w:r>
            <w:r>
              <w:rPr>
                <w:rFonts w:hint="eastAsia" w:ascii="宋体" w:hAnsi="宋体" w:cs="宋体"/>
                <w:kern w:val="0"/>
              </w:rPr>
              <w:t>分。</w:t>
            </w:r>
          </w:p>
          <w:p w14:paraId="5930FC5B">
            <w:pPr>
              <w:spacing w:line="240" w:lineRule="auto"/>
              <w:rPr>
                <w:rFonts w:ascii="宋体" w:hAnsi="宋体" w:cs="宋体"/>
                <w:kern w:val="0"/>
              </w:rPr>
            </w:pPr>
            <w:r>
              <w:rPr>
                <w:rFonts w:hint="eastAsia" w:ascii="宋体" w:hAnsi="宋体" w:cs="宋体"/>
              </w:rPr>
              <w:t>2.</w:t>
            </w:r>
            <w:r>
              <w:rPr>
                <w:rFonts w:hint="eastAsia" w:ascii="宋体" w:hAnsi="宋体" w:cs="宋体"/>
                <w:kern w:val="0"/>
              </w:rPr>
              <w:t>团队人员中具有计算机技术与软件专业技术资格（水平）中级证书（软件设计师或系统集成项目管理工程师）的，</w:t>
            </w:r>
            <w:bookmarkStart w:id="19" w:name="OLE_LINK27"/>
            <w:bookmarkStart w:id="20" w:name="OLE_LINK28"/>
            <w:r>
              <w:rPr>
                <w:rFonts w:hint="eastAsia" w:ascii="宋体" w:hAnsi="宋体" w:cs="宋体"/>
                <w:kern w:val="0"/>
              </w:rPr>
              <w:t>提供一个证书得</w:t>
            </w:r>
            <w:r>
              <w:rPr>
                <w:rFonts w:ascii="宋体" w:hAnsi="宋体" w:cs="宋体"/>
                <w:kern w:val="0"/>
              </w:rPr>
              <w:t>2</w:t>
            </w:r>
            <w:r>
              <w:rPr>
                <w:rFonts w:hint="eastAsia" w:ascii="宋体" w:hAnsi="宋体" w:cs="宋体"/>
                <w:kern w:val="0"/>
              </w:rPr>
              <w:t>分</w:t>
            </w:r>
            <w:bookmarkEnd w:id="19"/>
            <w:bookmarkEnd w:id="20"/>
            <w:r>
              <w:rPr>
                <w:rFonts w:hint="eastAsia" w:ascii="宋体" w:hAnsi="宋体" w:cs="宋体"/>
                <w:kern w:val="0"/>
              </w:rPr>
              <w:t>。</w:t>
            </w:r>
          </w:p>
          <w:p w14:paraId="474E1FFA">
            <w:pPr>
              <w:spacing w:line="240" w:lineRule="auto"/>
              <w:rPr>
                <w:rFonts w:hint="eastAsia" w:ascii="宋体" w:hAnsi="宋体" w:cs="宋体"/>
              </w:rPr>
            </w:pPr>
            <w:r>
              <w:rPr>
                <w:rFonts w:hint="eastAsia" w:ascii="宋体" w:hAnsi="宋体" w:cs="宋体"/>
              </w:rPr>
              <w:t>3.</w:t>
            </w:r>
            <w:r>
              <w:rPr>
                <w:rFonts w:hint="eastAsia" w:ascii="宋体" w:hAnsi="宋体" w:cs="宋体"/>
                <w:kern w:val="0"/>
              </w:rPr>
              <w:t>技术团队包括安全技术保障人员，人员具有：</w:t>
            </w:r>
            <w:r>
              <w:rPr>
                <w:rFonts w:hint="eastAsia" w:ascii="宋体" w:hAnsi="宋体" w:cs="宋体"/>
              </w:rPr>
              <w:t>信息安全保障人员认证证书，提供一个证书得1分。</w:t>
            </w:r>
            <w:bookmarkEnd w:id="17"/>
            <w:bookmarkEnd w:id="18"/>
          </w:p>
          <w:p w14:paraId="6079255A">
            <w:pPr>
              <w:spacing w:line="240" w:lineRule="auto"/>
              <w:rPr>
                <w:rFonts w:hint="default" w:ascii="宋体" w:hAnsi="宋体" w:eastAsia="宋体" w:cs="宋体"/>
                <w:lang w:val="en-US" w:eastAsia="zh-CN"/>
              </w:rPr>
            </w:pPr>
            <w:r>
              <w:rPr>
                <w:rFonts w:hint="eastAsia" w:ascii="宋体" w:hAnsi="宋体" w:cs="宋体"/>
                <w:lang w:val="en-US" w:eastAsia="zh-CN"/>
              </w:rPr>
              <w:t>本项满分6分。</w:t>
            </w:r>
          </w:p>
          <w:p w14:paraId="1B2D8966">
            <w:pPr>
              <w:snapToGrid w:val="0"/>
              <w:spacing w:line="240" w:lineRule="auto"/>
              <w:jc w:val="left"/>
              <w:rPr>
                <w:rFonts w:ascii="宋体" w:hAnsi="宋体" w:cs="宋体"/>
              </w:rPr>
            </w:pPr>
            <w:r>
              <w:rPr>
                <w:rFonts w:hint="eastAsia" w:ascii="宋体" w:hAnsi="宋体" w:cs="宋体"/>
              </w:rPr>
              <w:t>备注：</w:t>
            </w:r>
          </w:p>
          <w:p w14:paraId="3CFCBDC9">
            <w:pPr>
              <w:snapToGrid w:val="0"/>
              <w:spacing w:line="240" w:lineRule="auto"/>
              <w:jc w:val="left"/>
              <w:rPr>
                <w:rFonts w:ascii="宋体" w:hAnsi="宋体" w:cs="宋体"/>
              </w:rPr>
            </w:pPr>
            <w:r>
              <w:rPr>
                <w:rFonts w:ascii="宋体" w:hAnsi="宋体" w:cs="宋体"/>
              </w:rPr>
              <w:t>1.</w:t>
            </w:r>
            <w:r>
              <w:rPr>
                <w:rFonts w:hint="eastAsia"/>
                <w:sz w:val="21"/>
              </w:rPr>
              <w:t xml:space="preserve"> </w:t>
            </w:r>
            <w:r>
              <w:rPr>
                <w:rFonts w:hint="eastAsia" w:ascii="宋体" w:hAnsi="宋体" w:cs="宋体"/>
              </w:rPr>
              <w:t>投标人须提供项目技术团队成员的资质证书扫描件，同时准备人员证书原件以备查验；或于投标文件中附上资质证书的查验截图。</w:t>
            </w:r>
          </w:p>
          <w:p w14:paraId="4709968B">
            <w:pPr>
              <w:snapToGrid w:val="0"/>
              <w:spacing w:line="240" w:lineRule="auto"/>
              <w:jc w:val="left"/>
              <w:rPr>
                <w:rFonts w:ascii="宋体" w:hAnsi="宋体" w:cs="宋体"/>
              </w:rPr>
            </w:pPr>
            <w:r>
              <w:rPr>
                <w:rFonts w:ascii="宋体" w:hAnsi="宋体" w:cs="宋体"/>
              </w:rPr>
              <w:t>2.</w:t>
            </w:r>
            <w:r>
              <w:rPr>
                <w:rFonts w:hint="eastAsia" w:ascii="宋体" w:hAnsi="宋体" w:cs="宋体"/>
              </w:rPr>
              <w:t>人员需在本单位任职的外部证明材料（如投标截止日之前六个月以内任意月份的代缴个税税单或参加社会保险的《投保单》或《社会保险参保人员证明》等。无提供的不得分。</w:t>
            </w:r>
          </w:p>
        </w:tc>
      </w:tr>
      <w:tr w14:paraId="4D0C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14:paraId="3C7F991E">
            <w:pPr>
              <w:widowControl/>
              <w:spacing w:line="276" w:lineRule="auto"/>
              <w:jc w:val="center"/>
              <w:rPr>
                <w:rFonts w:ascii="宋体" w:hAnsi="宋体" w:cs="宋体"/>
              </w:rPr>
            </w:pPr>
            <w:r>
              <w:rPr>
                <w:rFonts w:hint="eastAsia" w:ascii="宋体" w:hAnsi="宋体" w:cs="宋体"/>
              </w:rPr>
              <w:t>4</w:t>
            </w:r>
          </w:p>
        </w:tc>
        <w:tc>
          <w:tcPr>
            <w:tcW w:w="1594" w:type="dxa"/>
            <w:vAlign w:val="center"/>
          </w:tcPr>
          <w:p w14:paraId="0621F648">
            <w:pPr>
              <w:spacing w:line="240" w:lineRule="auto"/>
              <w:jc w:val="center"/>
              <w:rPr>
                <w:rFonts w:ascii="宋体" w:hAnsi="宋体"/>
              </w:rPr>
            </w:pPr>
            <w:r>
              <w:rPr>
                <w:rFonts w:hint="eastAsia" w:ascii="宋体" w:hAnsi="宋体"/>
              </w:rPr>
              <w:t>售后服务</w:t>
            </w:r>
          </w:p>
          <w:p w14:paraId="5FF1EE96">
            <w:pPr>
              <w:spacing w:line="240" w:lineRule="auto"/>
              <w:jc w:val="center"/>
              <w:rPr>
                <w:rFonts w:ascii="宋体" w:hAnsi="宋体"/>
              </w:rPr>
            </w:pPr>
            <w:r>
              <w:rPr>
                <w:rFonts w:hint="eastAsia" w:ascii="宋体" w:hAnsi="宋体"/>
              </w:rPr>
              <w:t>方案</w:t>
            </w:r>
          </w:p>
        </w:tc>
        <w:tc>
          <w:tcPr>
            <w:tcW w:w="798" w:type="dxa"/>
            <w:vAlign w:val="center"/>
          </w:tcPr>
          <w:p w14:paraId="5F5AE6CD">
            <w:pPr>
              <w:widowControl/>
              <w:spacing w:line="240" w:lineRule="auto"/>
              <w:jc w:val="center"/>
              <w:rPr>
                <w:rFonts w:ascii="宋体" w:hAnsi="宋体" w:cs="宋体"/>
              </w:rPr>
            </w:pPr>
            <w:r>
              <w:rPr>
                <w:rFonts w:ascii="宋体" w:hAnsi="宋体" w:cs="宋体"/>
              </w:rPr>
              <w:t>8</w:t>
            </w:r>
          </w:p>
        </w:tc>
        <w:tc>
          <w:tcPr>
            <w:tcW w:w="5293" w:type="dxa"/>
            <w:vAlign w:val="center"/>
          </w:tcPr>
          <w:p w14:paraId="3D553F68">
            <w:pPr>
              <w:snapToGrid w:val="0"/>
              <w:spacing w:line="240" w:lineRule="auto"/>
              <w:jc w:val="left"/>
              <w:rPr>
                <w:rFonts w:ascii="宋体" w:hAnsi="宋体" w:cs="宋体"/>
              </w:rPr>
            </w:pPr>
            <w:r>
              <w:rPr>
                <w:rFonts w:hint="eastAsia" w:ascii="宋体" w:hAnsi="宋体" w:cs="宋体"/>
              </w:rPr>
              <w:t>根据供应商提供的针对本项目的“售后服务方案进行综合评审：</w:t>
            </w:r>
          </w:p>
          <w:p w14:paraId="0A6E5911">
            <w:pPr>
              <w:snapToGrid w:val="0"/>
              <w:spacing w:line="240" w:lineRule="auto"/>
              <w:jc w:val="left"/>
              <w:rPr>
                <w:rFonts w:ascii="宋体" w:hAnsi="宋体" w:cs="宋体"/>
              </w:rPr>
            </w:pPr>
            <w:bookmarkStart w:id="21" w:name="OLE_LINK12"/>
            <w:bookmarkStart w:id="22" w:name="OLE_LINK11"/>
            <w:r>
              <w:rPr>
                <w:rFonts w:hint="eastAsia" w:ascii="宋体" w:hAnsi="宋体" w:cs="宋体"/>
              </w:rPr>
              <w:t>1.</w:t>
            </w:r>
            <w:bookmarkEnd w:id="21"/>
            <w:bookmarkEnd w:id="22"/>
            <w:r>
              <w:rPr>
                <w:rFonts w:hint="eastAsia" w:ascii="宋体" w:hAnsi="宋体" w:cs="宋体"/>
              </w:rPr>
              <w:t>提供的售后服务方案内容均进行详细阐述且满足采购需求，得</w:t>
            </w:r>
            <w:r>
              <w:rPr>
                <w:rFonts w:ascii="宋体" w:hAnsi="宋体" w:cs="宋体"/>
              </w:rPr>
              <w:t>8</w:t>
            </w:r>
            <w:r>
              <w:rPr>
                <w:rFonts w:hint="eastAsia" w:ascii="宋体" w:hAnsi="宋体" w:cs="宋体"/>
              </w:rPr>
              <w:t>分；</w:t>
            </w:r>
          </w:p>
          <w:p w14:paraId="465BA450">
            <w:pPr>
              <w:snapToGrid w:val="0"/>
              <w:spacing w:line="240" w:lineRule="auto"/>
              <w:jc w:val="left"/>
              <w:rPr>
                <w:rFonts w:ascii="宋体" w:hAnsi="宋体" w:cs="宋体"/>
              </w:rPr>
            </w:pPr>
            <w:r>
              <w:rPr>
                <w:rFonts w:hint="eastAsia" w:ascii="宋体" w:hAnsi="宋体" w:cs="宋体"/>
              </w:rPr>
              <w:t>2.提供的售后服务方案内容未贴合项目实际情况进行论述，内容中未包括具体售后服务内容，得</w:t>
            </w:r>
            <w:r>
              <w:rPr>
                <w:rFonts w:hint="eastAsia" w:ascii="宋体" w:hAnsi="宋体" w:cs="宋体"/>
                <w:lang w:val="en-US" w:eastAsia="zh-CN"/>
              </w:rPr>
              <w:t>4</w:t>
            </w:r>
            <w:r>
              <w:rPr>
                <w:rFonts w:hint="eastAsia" w:ascii="宋体" w:hAnsi="宋体" w:cs="宋体"/>
              </w:rPr>
              <w:t>分；</w:t>
            </w:r>
          </w:p>
          <w:p w14:paraId="44BB6150">
            <w:pPr>
              <w:snapToGrid w:val="0"/>
              <w:spacing w:line="240" w:lineRule="auto"/>
              <w:jc w:val="left"/>
              <w:rPr>
                <w:rFonts w:ascii="宋体" w:hAnsi="宋体" w:cs="宋体"/>
              </w:rPr>
            </w:pPr>
            <w:r>
              <w:rPr>
                <w:rFonts w:hint="eastAsia" w:ascii="宋体" w:hAnsi="宋体" w:cs="宋体"/>
              </w:rPr>
              <w:t>3.提供的售后服务方案内容不符合项目实际情况得</w:t>
            </w:r>
            <w:r>
              <w:rPr>
                <w:rFonts w:hint="eastAsia" w:ascii="宋体" w:hAnsi="宋体" w:cs="宋体"/>
                <w:lang w:val="en-US" w:eastAsia="zh-CN"/>
              </w:rPr>
              <w:t>1</w:t>
            </w:r>
            <w:r>
              <w:rPr>
                <w:rFonts w:hint="eastAsia" w:ascii="宋体" w:hAnsi="宋体" w:cs="宋体"/>
              </w:rPr>
              <w:t>分；</w:t>
            </w:r>
          </w:p>
          <w:p w14:paraId="63910224">
            <w:pPr>
              <w:snapToGrid w:val="0"/>
              <w:spacing w:line="240" w:lineRule="auto"/>
              <w:jc w:val="left"/>
              <w:rPr>
                <w:rFonts w:ascii="宋体" w:hAnsi="宋体" w:cs="宋体"/>
              </w:rPr>
            </w:pPr>
            <w:r>
              <w:rPr>
                <w:rFonts w:hint="eastAsia" w:ascii="宋体" w:hAnsi="宋体" w:cs="宋体"/>
              </w:rPr>
              <w:t>4.未提供售后服务方案不得分。</w:t>
            </w:r>
          </w:p>
        </w:tc>
      </w:tr>
      <w:tr w14:paraId="10A7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vAlign w:val="center"/>
          </w:tcPr>
          <w:p w14:paraId="6397B028">
            <w:pPr>
              <w:widowControl/>
              <w:spacing w:line="276" w:lineRule="auto"/>
              <w:jc w:val="center"/>
              <w:rPr>
                <w:rFonts w:ascii="宋体" w:hAnsi="宋体" w:cs="宋体"/>
              </w:rPr>
            </w:pPr>
            <w:r>
              <w:rPr>
                <w:rFonts w:hint="eastAsia" w:ascii="宋体" w:hAnsi="宋体" w:cs="宋体"/>
              </w:rPr>
              <w:t>5</w:t>
            </w:r>
          </w:p>
        </w:tc>
        <w:tc>
          <w:tcPr>
            <w:tcW w:w="1594" w:type="dxa"/>
            <w:vAlign w:val="center"/>
          </w:tcPr>
          <w:p w14:paraId="4D4DD70E">
            <w:pPr>
              <w:spacing w:line="240" w:lineRule="auto"/>
              <w:jc w:val="center"/>
              <w:rPr>
                <w:rFonts w:ascii="宋体" w:hAnsi="宋体"/>
              </w:rPr>
            </w:pPr>
            <w:r>
              <w:rPr>
                <w:rFonts w:hint="eastAsia" w:ascii="宋体" w:hAnsi="宋体"/>
              </w:rPr>
              <w:t>培训方案</w:t>
            </w:r>
          </w:p>
        </w:tc>
        <w:tc>
          <w:tcPr>
            <w:tcW w:w="798" w:type="dxa"/>
            <w:vAlign w:val="center"/>
          </w:tcPr>
          <w:p w14:paraId="3E401CD6">
            <w:pPr>
              <w:widowControl/>
              <w:spacing w:line="240" w:lineRule="auto"/>
              <w:jc w:val="center"/>
              <w:rPr>
                <w:rFonts w:ascii="宋体" w:hAnsi="宋体" w:cs="宋体"/>
              </w:rPr>
            </w:pPr>
            <w:r>
              <w:rPr>
                <w:rFonts w:hint="eastAsia" w:ascii="宋体" w:hAnsi="宋体" w:cs="宋体"/>
                <w:kern w:val="0"/>
              </w:rPr>
              <w:t>6</w:t>
            </w:r>
          </w:p>
        </w:tc>
        <w:tc>
          <w:tcPr>
            <w:tcW w:w="5293" w:type="dxa"/>
            <w:vAlign w:val="center"/>
          </w:tcPr>
          <w:p w14:paraId="3C9F1509">
            <w:pPr>
              <w:widowControl/>
              <w:spacing w:line="240" w:lineRule="auto"/>
              <w:jc w:val="left"/>
              <w:rPr>
                <w:rFonts w:ascii="宋体" w:hAnsi="宋体" w:cs="宋体"/>
              </w:rPr>
            </w:pPr>
            <w:r>
              <w:rPr>
                <w:rFonts w:hint="eastAsia" w:ascii="宋体" w:hAnsi="宋体" w:cs="宋体"/>
              </w:rPr>
              <w:t>根据供应商提供的“培训方案”进行综合评审：</w:t>
            </w:r>
          </w:p>
          <w:p w14:paraId="3DF6C533">
            <w:pPr>
              <w:snapToGrid w:val="0"/>
              <w:spacing w:line="240" w:lineRule="auto"/>
              <w:jc w:val="left"/>
              <w:rPr>
                <w:rFonts w:ascii="宋体" w:hAnsi="宋体" w:cs="宋体"/>
              </w:rPr>
            </w:pPr>
            <w:r>
              <w:rPr>
                <w:rFonts w:hint="eastAsia" w:ascii="宋体" w:hAnsi="宋体" w:cs="宋体"/>
              </w:rPr>
              <w:t>1.提供的</w:t>
            </w:r>
            <w:r>
              <w:rPr>
                <w:rFonts w:hint="eastAsia" w:ascii="宋体" w:hAnsi="宋体"/>
              </w:rPr>
              <w:t>培训方案</w:t>
            </w:r>
            <w:r>
              <w:rPr>
                <w:rFonts w:hint="eastAsia" w:ascii="宋体" w:hAnsi="宋体" w:cs="宋体"/>
              </w:rPr>
              <w:t>内容均进行详细阐述且满足采购需求，内容中包括具体培训计划及安排得6分；</w:t>
            </w:r>
          </w:p>
          <w:p w14:paraId="3EF80194">
            <w:pPr>
              <w:snapToGrid w:val="0"/>
              <w:spacing w:line="240" w:lineRule="auto"/>
              <w:jc w:val="left"/>
              <w:rPr>
                <w:rFonts w:ascii="宋体" w:hAnsi="宋体" w:cs="宋体"/>
              </w:rPr>
            </w:pPr>
            <w:r>
              <w:rPr>
                <w:rFonts w:hint="eastAsia" w:ascii="宋体" w:hAnsi="宋体" w:cs="宋体"/>
              </w:rPr>
              <w:t>2.提供的</w:t>
            </w:r>
            <w:r>
              <w:rPr>
                <w:rFonts w:hint="eastAsia" w:ascii="宋体" w:hAnsi="宋体"/>
              </w:rPr>
              <w:t>培训方案</w:t>
            </w:r>
            <w:r>
              <w:rPr>
                <w:rFonts w:hint="eastAsia" w:ascii="宋体" w:hAnsi="宋体" w:cs="宋体"/>
              </w:rPr>
              <w:t>内容未贴合项目实际情况进行论述，或内容中未包括具体培训计划及安排，得</w:t>
            </w:r>
            <w:r>
              <w:rPr>
                <w:rFonts w:hint="eastAsia" w:ascii="宋体" w:hAnsi="宋体" w:cs="宋体"/>
                <w:lang w:val="en-US" w:eastAsia="zh-CN"/>
              </w:rPr>
              <w:t>3</w:t>
            </w:r>
            <w:r>
              <w:rPr>
                <w:rFonts w:hint="eastAsia" w:ascii="宋体" w:hAnsi="宋体" w:cs="宋体"/>
              </w:rPr>
              <w:t>分；</w:t>
            </w:r>
          </w:p>
          <w:p w14:paraId="4B61729E">
            <w:pPr>
              <w:snapToGrid w:val="0"/>
              <w:spacing w:line="240" w:lineRule="auto"/>
              <w:jc w:val="left"/>
              <w:rPr>
                <w:rFonts w:ascii="宋体" w:hAnsi="宋体" w:cs="宋体"/>
              </w:rPr>
            </w:pPr>
            <w:r>
              <w:rPr>
                <w:rFonts w:hint="eastAsia" w:ascii="宋体" w:hAnsi="宋体" w:cs="宋体"/>
              </w:rPr>
              <w:t>3.提供的</w:t>
            </w:r>
            <w:r>
              <w:rPr>
                <w:rFonts w:hint="eastAsia" w:ascii="宋体" w:hAnsi="宋体"/>
              </w:rPr>
              <w:t>培训方案</w:t>
            </w:r>
            <w:r>
              <w:rPr>
                <w:rFonts w:hint="eastAsia" w:ascii="宋体" w:hAnsi="宋体" w:cs="宋体"/>
              </w:rPr>
              <w:t>内容不符合项目实际情况，得</w:t>
            </w:r>
            <w:r>
              <w:rPr>
                <w:rFonts w:hint="eastAsia" w:ascii="宋体" w:hAnsi="宋体" w:cs="宋体"/>
                <w:lang w:val="en-US" w:eastAsia="zh-CN"/>
              </w:rPr>
              <w:t>1</w:t>
            </w:r>
            <w:r>
              <w:rPr>
                <w:rFonts w:hint="eastAsia" w:ascii="宋体" w:hAnsi="宋体" w:cs="宋体"/>
              </w:rPr>
              <w:t>分；</w:t>
            </w:r>
          </w:p>
          <w:p w14:paraId="7476E7CB">
            <w:pPr>
              <w:widowControl/>
              <w:spacing w:line="240" w:lineRule="auto"/>
              <w:jc w:val="left"/>
              <w:rPr>
                <w:rFonts w:ascii="宋体" w:hAnsi="宋体"/>
              </w:rPr>
            </w:pPr>
            <w:r>
              <w:rPr>
                <w:rFonts w:hint="eastAsia" w:ascii="宋体" w:hAnsi="宋体" w:cs="宋体"/>
              </w:rPr>
              <w:t>4.未提供培训方案不得分。</w:t>
            </w:r>
          </w:p>
        </w:tc>
      </w:tr>
    </w:tbl>
    <w:p w14:paraId="7E2CE08B">
      <w:pPr>
        <w:numPr>
          <w:ilvl w:val="0"/>
          <w:numId w:val="17"/>
        </w:numPr>
        <w:spacing w:line="240" w:lineRule="auto"/>
        <w:rPr>
          <w:rFonts w:ascii="Noto Serif CJK SC Light" w:hAnsi="Noto Serif CJK SC Light" w:eastAsia="Noto Serif CJK SC Light" w:cs="宋体"/>
        </w:rPr>
      </w:pPr>
      <w:r>
        <w:rPr>
          <w:rFonts w:hint="eastAsia" w:ascii="Noto Serif CJK SC Light" w:hAnsi="Noto Serif CJK SC Light" w:eastAsia="Noto Serif CJK SC Light" w:cs="宋体"/>
        </w:rPr>
        <w:t>价格部分</w:t>
      </w:r>
    </w:p>
    <w:tbl>
      <w:tblPr>
        <w:tblStyle w:val="18"/>
        <w:tblW w:w="8584" w:type="dxa"/>
        <w:jc w:val="center"/>
        <w:tblLayout w:type="fixed"/>
        <w:tblCellMar>
          <w:top w:w="0" w:type="dxa"/>
          <w:left w:w="108" w:type="dxa"/>
          <w:bottom w:w="0" w:type="dxa"/>
          <w:right w:w="108" w:type="dxa"/>
        </w:tblCellMar>
      </w:tblPr>
      <w:tblGrid>
        <w:gridCol w:w="1282"/>
        <w:gridCol w:w="791"/>
        <w:gridCol w:w="6511"/>
      </w:tblGrid>
      <w:tr w14:paraId="68796785">
        <w:tblPrEx>
          <w:tblCellMar>
            <w:top w:w="0" w:type="dxa"/>
            <w:left w:w="108" w:type="dxa"/>
            <w:bottom w:w="0" w:type="dxa"/>
            <w:right w:w="108" w:type="dxa"/>
          </w:tblCellMar>
        </w:tblPrEx>
        <w:trPr>
          <w:trHeight w:val="554"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14:paraId="1AAF203F">
            <w:pPr>
              <w:widowControl/>
              <w:spacing w:line="240" w:lineRule="auto"/>
              <w:rPr>
                <w:rFonts w:ascii="宋体" w:hAnsi="宋体" w:cs="宋体"/>
              </w:rPr>
            </w:pPr>
            <w:r>
              <w:rPr>
                <w:rFonts w:hint="eastAsia" w:ascii="宋体" w:hAnsi="宋体" w:cs="宋体"/>
              </w:rPr>
              <w:t>评分因素</w:t>
            </w:r>
          </w:p>
        </w:tc>
        <w:tc>
          <w:tcPr>
            <w:tcW w:w="791" w:type="dxa"/>
            <w:tcBorders>
              <w:top w:val="single" w:color="auto" w:sz="4" w:space="0"/>
              <w:left w:val="nil"/>
              <w:bottom w:val="single" w:color="auto" w:sz="4" w:space="0"/>
              <w:right w:val="single" w:color="auto" w:sz="4" w:space="0"/>
            </w:tcBorders>
            <w:vAlign w:val="center"/>
          </w:tcPr>
          <w:p w14:paraId="4B74CC28">
            <w:pPr>
              <w:widowControl/>
              <w:spacing w:line="240" w:lineRule="auto"/>
              <w:rPr>
                <w:rFonts w:ascii="宋体" w:hAnsi="宋体" w:cs="宋体"/>
              </w:rPr>
            </w:pPr>
            <w:r>
              <w:rPr>
                <w:rFonts w:hint="eastAsia" w:ascii="宋体" w:hAnsi="宋体" w:cs="宋体"/>
              </w:rPr>
              <w:t>分值</w:t>
            </w:r>
          </w:p>
        </w:tc>
        <w:tc>
          <w:tcPr>
            <w:tcW w:w="6511" w:type="dxa"/>
            <w:tcBorders>
              <w:top w:val="single" w:color="auto" w:sz="4" w:space="0"/>
              <w:left w:val="nil"/>
              <w:bottom w:val="single" w:color="auto" w:sz="4" w:space="0"/>
              <w:right w:val="single" w:color="000000" w:sz="4" w:space="0"/>
            </w:tcBorders>
            <w:vAlign w:val="center"/>
          </w:tcPr>
          <w:p w14:paraId="5AC8E801">
            <w:pPr>
              <w:widowControl/>
              <w:spacing w:line="240" w:lineRule="auto"/>
              <w:ind w:firstLine="25"/>
              <w:jc w:val="center"/>
              <w:rPr>
                <w:rFonts w:ascii="宋体" w:hAnsi="宋体" w:cs="宋体"/>
              </w:rPr>
            </w:pPr>
            <w:r>
              <w:rPr>
                <w:rFonts w:hint="eastAsia" w:ascii="宋体" w:hAnsi="宋体" w:cs="宋体"/>
              </w:rPr>
              <w:t>评分标准</w:t>
            </w:r>
          </w:p>
        </w:tc>
      </w:tr>
      <w:tr w14:paraId="553DF5C2">
        <w:tblPrEx>
          <w:tblCellMar>
            <w:top w:w="0" w:type="dxa"/>
            <w:left w:w="108" w:type="dxa"/>
            <w:bottom w:w="0" w:type="dxa"/>
            <w:right w:w="108" w:type="dxa"/>
          </w:tblCellMar>
        </w:tblPrEx>
        <w:trPr>
          <w:trHeight w:val="2422" w:hRule="atLeast"/>
          <w:jc w:val="center"/>
        </w:trPr>
        <w:tc>
          <w:tcPr>
            <w:tcW w:w="1282" w:type="dxa"/>
            <w:tcBorders>
              <w:top w:val="nil"/>
              <w:left w:val="single" w:color="auto" w:sz="4" w:space="0"/>
              <w:bottom w:val="single" w:color="auto" w:sz="4" w:space="0"/>
              <w:right w:val="single" w:color="auto" w:sz="4" w:space="0"/>
            </w:tcBorders>
            <w:vAlign w:val="center"/>
          </w:tcPr>
          <w:p w14:paraId="14854E82">
            <w:pPr>
              <w:widowControl/>
              <w:spacing w:line="240" w:lineRule="auto"/>
              <w:jc w:val="left"/>
              <w:rPr>
                <w:rFonts w:ascii="宋体" w:hAnsi="宋体" w:cs="宋体"/>
              </w:rPr>
            </w:pPr>
            <w:r>
              <w:rPr>
                <w:rFonts w:hint="eastAsia" w:ascii="宋体" w:hAnsi="宋体" w:cs="宋体"/>
              </w:rPr>
              <w:t>响应报价</w:t>
            </w:r>
          </w:p>
        </w:tc>
        <w:tc>
          <w:tcPr>
            <w:tcW w:w="791" w:type="dxa"/>
            <w:tcBorders>
              <w:top w:val="nil"/>
              <w:left w:val="nil"/>
              <w:bottom w:val="single" w:color="auto" w:sz="4" w:space="0"/>
              <w:right w:val="single" w:color="auto" w:sz="4" w:space="0"/>
            </w:tcBorders>
            <w:vAlign w:val="center"/>
          </w:tcPr>
          <w:p w14:paraId="592187FF">
            <w:pPr>
              <w:spacing w:line="240" w:lineRule="auto"/>
              <w:jc w:val="center"/>
              <w:rPr>
                <w:rFonts w:ascii="宋体" w:hAnsi="宋体"/>
              </w:rPr>
            </w:pPr>
            <w:r>
              <w:rPr>
                <w:rFonts w:hint="eastAsia" w:ascii="宋体" w:hAnsi="宋体"/>
              </w:rPr>
              <w:t>10</w:t>
            </w:r>
          </w:p>
        </w:tc>
        <w:tc>
          <w:tcPr>
            <w:tcW w:w="6511" w:type="dxa"/>
            <w:tcBorders>
              <w:top w:val="single" w:color="auto" w:sz="4" w:space="0"/>
              <w:left w:val="nil"/>
              <w:bottom w:val="single" w:color="auto" w:sz="4" w:space="0"/>
              <w:right w:val="single" w:color="000000" w:sz="4" w:space="0"/>
            </w:tcBorders>
            <w:vAlign w:val="center"/>
          </w:tcPr>
          <w:p w14:paraId="766B395E">
            <w:pPr>
              <w:spacing w:line="240" w:lineRule="auto"/>
              <w:rPr>
                <w:rFonts w:ascii="宋体" w:hAnsi="宋体"/>
              </w:rPr>
            </w:pPr>
            <w:r>
              <w:rPr>
                <w:rFonts w:hint="eastAsia" w:ascii="宋体" w:hAnsi="宋体"/>
              </w:rPr>
              <w:t>价格得分采用以所有“有效投标报价”的最低价作为评标基准价，投标报价与评标基准价相等的得满分，其他投标人的价格分统一按照下列公式计算：</w:t>
            </w:r>
          </w:p>
          <w:p w14:paraId="0A84D565">
            <w:pPr>
              <w:spacing w:line="240" w:lineRule="auto"/>
              <w:rPr>
                <w:rFonts w:ascii="宋体" w:hAnsi="宋体"/>
              </w:rPr>
            </w:pPr>
            <w:r>
              <w:rPr>
                <w:rFonts w:hint="eastAsia" w:ascii="宋体" w:hAnsi="宋体"/>
              </w:rPr>
              <w:t>价格评分=</w:t>
            </w:r>
            <w:r>
              <w:rPr>
                <w:rFonts w:ascii="宋体" w:hAnsi="宋体"/>
              </w:rPr>
              <w:t>(</w:t>
            </w:r>
            <w:r>
              <w:rPr>
                <w:rFonts w:hint="eastAsia" w:ascii="宋体" w:hAnsi="宋体"/>
              </w:rPr>
              <w:t>有效投标报价/</w:t>
            </w:r>
            <w:r>
              <w:rPr>
                <w:rFonts w:ascii="宋体" w:hAnsi="宋体"/>
              </w:rPr>
              <w:t>厂商报</w:t>
            </w:r>
            <w:r>
              <w:rPr>
                <w:rFonts w:hint="eastAsia" w:ascii="宋体" w:hAnsi="宋体"/>
              </w:rPr>
              <w:t>价)×10分。</w:t>
            </w:r>
          </w:p>
          <w:p w14:paraId="24FB3C1D">
            <w:pPr>
              <w:spacing w:line="240" w:lineRule="auto"/>
              <w:ind w:left="-38"/>
              <w:rPr>
                <w:rFonts w:ascii="宋体" w:hAnsi="宋体"/>
              </w:rPr>
            </w:pPr>
            <w:r>
              <w:rPr>
                <w:rFonts w:hint="eastAsia" w:ascii="宋体" w:hAnsi="宋体"/>
              </w:rPr>
              <w:t>其中，“有效投标报价”指实质响应招标文件所有要求，没有恶意竞争和没有被废标的投标报价。</w:t>
            </w:r>
          </w:p>
        </w:tc>
      </w:tr>
    </w:tbl>
    <w:p w14:paraId="4509E96B">
      <w:pPr>
        <w:spacing w:line="240" w:lineRule="auto"/>
        <w:rPr>
          <w:sz w:val="21"/>
        </w:rPr>
      </w:pPr>
    </w:p>
    <w:sectPr>
      <w:footerReference r:id="rId5" w:type="default"/>
      <w:pgSz w:w="11906" w:h="16838"/>
      <w:pgMar w:top="1440" w:right="1700" w:bottom="1440" w:left="156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Noto Serif CJK SC Light">
    <w:altName w:val="宋体"/>
    <w:panose1 w:val="00000000000000000000"/>
    <w:charset w:val="86"/>
    <w:family w:val="roman"/>
    <w:pitch w:val="default"/>
    <w:sig w:usb0="00000000" w:usb1="00000000" w:usb2="00000016" w:usb3="00000000" w:csb0="002E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3914397"/>
    </w:sdtPr>
    <w:sdtContent>
      <w:p w14:paraId="3874C495">
        <w:pPr>
          <w:pStyle w:val="13"/>
          <w:jc w:val="center"/>
        </w:pPr>
        <w:r>
          <w:fldChar w:fldCharType="begin"/>
        </w:r>
        <w:r>
          <w:instrText xml:space="preserve">PAGE   \* MERGEFORMAT</w:instrText>
        </w:r>
        <w:r>
          <w:fldChar w:fldCharType="separate"/>
        </w:r>
        <w:r>
          <w:rPr>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95C3D"/>
    <w:multiLevelType w:val="multilevel"/>
    <w:tmpl w:val="0B695C3D"/>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
    <w:nsid w:val="0BFD0E8B"/>
    <w:multiLevelType w:val="multilevel"/>
    <w:tmpl w:val="0BFD0E8B"/>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2">
    <w:nsid w:val="15522A6C"/>
    <w:multiLevelType w:val="multilevel"/>
    <w:tmpl w:val="15522A6C"/>
    <w:lvl w:ilvl="0" w:tentative="0">
      <w:start w:val="1"/>
      <w:numFmt w:val="decimal"/>
      <w:pStyle w:val="17"/>
      <w:lvlText w:val="%1"/>
      <w:lvlJc w:val="left"/>
      <w:pPr>
        <w:ind w:left="425" w:hanging="425"/>
      </w:pPr>
      <w:rPr>
        <w:rFonts w:hint="eastAsia"/>
      </w:rPr>
    </w:lvl>
    <w:lvl w:ilvl="1" w:tentative="0">
      <w:start w:val="1"/>
      <w:numFmt w:val="decimal"/>
      <w:pStyle w:val="3"/>
      <w:lvlText w:val="%1.%2"/>
      <w:lvlJc w:val="left"/>
      <w:pPr>
        <w:ind w:left="1702" w:hanging="567"/>
      </w:pPr>
      <w:rPr>
        <w:rFonts w:hint="eastAsia"/>
      </w:rPr>
    </w:lvl>
    <w:lvl w:ilvl="2" w:tentative="0">
      <w:start w:val="1"/>
      <w:numFmt w:val="decimal"/>
      <w:pStyle w:val="5"/>
      <w:lvlText w:val="%1.%2.%3"/>
      <w:lvlJc w:val="left"/>
      <w:pPr>
        <w:ind w:left="1418" w:hanging="567"/>
      </w:pPr>
      <w:rPr>
        <w:rFonts w:hint="eastAsia"/>
        <w:sz w:val="28"/>
        <w:szCs w:val="28"/>
      </w:rPr>
    </w:lvl>
    <w:lvl w:ilvl="3" w:tentative="0">
      <w:start w:val="1"/>
      <w:numFmt w:val="decimal"/>
      <w:pStyle w:val="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D015C4E"/>
    <w:multiLevelType w:val="multilevel"/>
    <w:tmpl w:val="1D015C4E"/>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4">
    <w:nsid w:val="215C025C"/>
    <w:multiLevelType w:val="multilevel"/>
    <w:tmpl w:val="215C025C"/>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5">
    <w:nsid w:val="259F1101"/>
    <w:multiLevelType w:val="multilevel"/>
    <w:tmpl w:val="259F11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700" w:hanging="44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7B349F"/>
    <w:multiLevelType w:val="multilevel"/>
    <w:tmpl w:val="287B349F"/>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7">
    <w:nsid w:val="345E29E4"/>
    <w:multiLevelType w:val="multilevel"/>
    <w:tmpl w:val="345E29E4"/>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8">
    <w:nsid w:val="413E1B66"/>
    <w:multiLevelType w:val="multilevel"/>
    <w:tmpl w:val="413E1B66"/>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9">
    <w:nsid w:val="4A92168E"/>
    <w:multiLevelType w:val="multilevel"/>
    <w:tmpl w:val="4A92168E"/>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0">
    <w:nsid w:val="51F16091"/>
    <w:multiLevelType w:val="multilevel"/>
    <w:tmpl w:val="51F16091"/>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1">
    <w:nsid w:val="577C69D3"/>
    <w:multiLevelType w:val="multilevel"/>
    <w:tmpl w:val="577C69D3"/>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2">
    <w:nsid w:val="5A972E09"/>
    <w:multiLevelType w:val="multilevel"/>
    <w:tmpl w:val="5A972E09"/>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3">
    <w:nsid w:val="5C9F7BB1"/>
    <w:multiLevelType w:val="multilevel"/>
    <w:tmpl w:val="5C9F7BB1"/>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4">
    <w:nsid w:val="64AC6E0D"/>
    <w:multiLevelType w:val="multilevel"/>
    <w:tmpl w:val="64AC6E0D"/>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5">
    <w:nsid w:val="739A1F57"/>
    <w:multiLevelType w:val="multilevel"/>
    <w:tmpl w:val="739A1F57"/>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abstractNum w:abstractNumId="16">
    <w:nsid w:val="7ED04434"/>
    <w:multiLevelType w:val="multilevel"/>
    <w:tmpl w:val="7ED04434"/>
    <w:lvl w:ilvl="0" w:tentative="0">
      <w:start w:val="1"/>
      <w:numFmt w:val="decimal"/>
      <w:lvlText w:val="(%1)"/>
      <w:lvlJc w:val="left"/>
      <w:pPr>
        <w:tabs>
          <w:tab w:val="left" w:pos="846"/>
        </w:tabs>
        <w:ind w:left="846" w:hanging="420"/>
      </w:pPr>
      <w:rPr>
        <w:rFonts w:hint="eastAsia"/>
      </w:rPr>
    </w:lvl>
    <w:lvl w:ilvl="1" w:tentative="0">
      <w:start w:val="1"/>
      <w:numFmt w:val="decimal"/>
      <w:lvlText w:val="（%2）"/>
      <w:lvlJc w:val="left"/>
      <w:pPr>
        <w:ind w:left="1566" w:hanging="720"/>
      </w:pPr>
      <w:rPr>
        <w:rFonts w:hint="default"/>
        <w:lang w:val="en-US"/>
      </w:rPr>
    </w:lvl>
    <w:lvl w:ilvl="2" w:tentative="0">
      <w:start w:val="1"/>
      <w:numFmt w:val="bullet"/>
      <w:lvlText w:val=""/>
      <w:lvlJc w:val="left"/>
      <w:pPr>
        <w:tabs>
          <w:tab w:val="left" w:pos="1686"/>
        </w:tabs>
        <w:ind w:left="1686" w:hanging="420"/>
      </w:pPr>
      <w:rPr>
        <w:rFonts w:hint="default" w:ascii="Wingdings" w:hAnsi="Wingdings"/>
      </w:rPr>
    </w:lvl>
    <w:lvl w:ilvl="3" w:tentative="0">
      <w:start w:val="1"/>
      <w:numFmt w:val="bullet"/>
      <w:lvlText w:val=""/>
      <w:lvlJc w:val="left"/>
      <w:pPr>
        <w:tabs>
          <w:tab w:val="left" w:pos="2106"/>
        </w:tabs>
        <w:ind w:left="2106" w:hanging="420"/>
      </w:pPr>
      <w:rPr>
        <w:rFonts w:hint="default" w:ascii="Wingdings" w:hAnsi="Wingdings"/>
      </w:rPr>
    </w:lvl>
    <w:lvl w:ilvl="4" w:tentative="0">
      <w:start w:val="1"/>
      <w:numFmt w:val="bullet"/>
      <w:lvlText w:val=""/>
      <w:lvlJc w:val="left"/>
      <w:pPr>
        <w:tabs>
          <w:tab w:val="left" w:pos="2526"/>
        </w:tabs>
        <w:ind w:left="2526" w:hanging="420"/>
      </w:pPr>
      <w:rPr>
        <w:rFonts w:hint="default" w:ascii="Wingdings" w:hAnsi="Wingdings"/>
      </w:rPr>
    </w:lvl>
    <w:lvl w:ilvl="5" w:tentative="0">
      <w:start w:val="1"/>
      <w:numFmt w:val="bullet"/>
      <w:lvlText w:val=""/>
      <w:lvlJc w:val="left"/>
      <w:pPr>
        <w:tabs>
          <w:tab w:val="left" w:pos="2946"/>
        </w:tabs>
        <w:ind w:left="2946" w:hanging="420"/>
      </w:pPr>
      <w:rPr>
        <w:rFonts w:hint="default" w:ascii="Wingdings" w:hAnsi="Wingdings"/>
      </w:rPr>
    </w:lvl>
    <w:lvl w:ilvl="6" w:tentative="0">
      <w:start w:val="1"/>
      <w:numFmt w:val="bullet"/>
      <w:lvlText w:val=""/>
      <w:lvlJc w:val="left"/>
      <w:pPr>
        <w:tabs>
          <w:tab w:val="left" w:pos="3366"/>
        </w:tabs>
        <w:ind w:left="3366" w:hanging="420"/>
      </w:pPr>
      <w:rPr>
        <w:rFonts w:hint="default" w:ascii="Wingdings" w:hAnsi="Wingdings"/>
      </w:rPr>
    </w:lvl>
    <w:lvl w:ilvl="7" w:tentative="0">
      <w:start w:val="1"/>
      <w:numFmt w:val="bullet"/>
      <w:lvlText w:val=""/>
      <w:lvlJc w:val="left"/>
      <w:pPr>
        <w:tabs>
          <w:tab w:val="left" w:pos="3786"/>
        </w:tabs>
        <w:ind w:left="3786" w:hanging="420"/>
      </w:pPr>
      <w:rPr>
        <w:rFonts w:hint="default" w:ascii="Wingdings" w:hAnsi="Wingdings"/>
      </w:rPr>
    </w:lvl>
    <w:lvl w:ilvl="8" w:tentative="0">
      <w:start w:val="1"/>
      <w:numFmt w:val="bullet"/>
      <w:lvlText w:val=""/>
      <w:lvlJc w:val="left"/>
      <w:pPr>
        <w:tabs>
          <w:tab w:val="left" w:pos="4206"/>
        </w:tabs>
        <w:ind w:left="4206" w:hanging="420"/>
      </w:pPr>
      <w:rPr>
        <w:rFonts w:hint="default" w:ascii="Wingdings" w:hAnsi="Wingdings"/>
      </w:rPr>
    </w:lvl>
  </w:abstractNum>
  <w:num w:numId="1">
    <w:abstractNumId w:val="2"/>
  </w:num>
  <w:num w:numId="2">
    <w:abstractNumId w:val="16"/>
  </w:num>
  <w:num w:numId="3">
    <w:abstractNumId w:val="0"/>
  </w:num>
  <w:num w:numId="4">
    <w:abstractNumId w:val="8"/>
  </w:num>
  <w:num w:numId="5">
    <w:abstractNumId w:val="1"/>
  </w:num>
  <w:num w:numId="6">
    <w:abstractNumId w:val="11"/>
  </w:num>
  <w:num w:numId="7">
    <w:abstractNumId w:val="9"/>
  </w:num>
  <w:num w:numId="8">
    <w:abstractNumId w:val="3"/>
  </w:num>
  <w:num w:numId="9">
    <w:abstractNumId w:val="4"/>
  </w:num>
  <w:num w:numId="10">
    <w:abstractNumId w:val="14"/>
  </w:num>
  <w:num w:numId="11">
    <w:abstractNumId w:val="12"/>
  </w:num>
  <w:num w:numId="12">
    <w:abstractNumId w:val="10"/>
  </w:num>
  <w:num w:numId="13">
    <w:abstractNumId w:val="15"/>
  </w:num>
  <w:num w:numId="14">
    <w:abstractNumId w:val="13"/>
  </w:num>
  <w:num w:numId="15">
    <w:abstractNumId w:val="7"/>
  </w:num>
  <w:num w:numId="16">
    <w:abstractNumId w:val="6"/>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珏">
    <w15:presenceInfo w15:providerId="None" w15:userId="刘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dit="trackedChanges"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E6"/>
    <w:rsid w:val="00014C0C"/>
    <w:rsid w:val="00015DA8"/>
    <w:rsid w:val="000172DF"/>
    <w:rsid w:val="0002343C"/>
    <w:rsid w:val="00027646"/>
    <w:rsid w:val="00027695"/>
    <w:rsid w:val="000305EC"/>
    <w:rsid w:val="00040900"/>
    <w:rsid w:val="00040E77"/>
    <w:rsid w:val="000432AF"/>
    <w:rsid w:val="00045029"/>
    <w:rsid w:val="00051D90"/>
    <w:rsid w:val="00055EAF"/>
    <w:rsid w:val="00062EA5"/>
    <w:rsid w:val="000759BC"/>
    <w:rsid w:val="000809F2"/>
    <w:rsid w:val="000815BF"/>
    <w:rsid w:val="000979C7"/>
    <w:rsid w:val="000A3279"/>
    <w:rsid w:val="000D40A9"/>
    <w:rsid w:val="000D545A"/>
    <w:rsid w:val="000D5D69"/>
    <w:rsid w:val="000E1719"/>
    <w:rsid w:val="000F2181"/>
    <w:rsid w:val="000F53D3"/>
    <w:rsid w:val="00101B41"/>
    <w:rsid w:val="00104E5E"/>
    <w:rsid w:val="0013030A"/>
    <w:rsid w:val="00134C4C"/>
    <w:rsid w:val="00135ACA"/>
    <w:rsid w:val="00151200"/>
    <w:rsid w:val="00160C87"/>
    <w:rsid w:val="00164AB1"/>
    <w:rsid w:val="00171862"/>
    <w:rsid w:val="001742B8"/>
    <w:rsid w:val="0018101B"/>
    <w:rsid w:val="00181AF5"/>
    <w:rsid w:val="00185341"/>
    <w:rsid w:val="00186E96"/>
    <w:rsid w:val="00186FA3"/>
    <w:rsid w:val="00194609"/>
    <w:rsid w:val="00197341"/>
    <w:rsid w:val="001B1FBB"/>
    <w:rsid w:val="001C0E52"/>
    <w:rsid w:val="001D5AED"/>
    <w:rsid w:val="001E427D"/>
    <w:rsid w:val="001F01AC"/>
    <w:rsid w:val="001F2116"/>
    <w:rsid w:val="00211F5C"/>
    <w:rsid w:val="00225347"/>
    <w:rsid w:val="002257A3"/>
    <w:rsid w:val="00230244"/>
    <w:rsid w:val="00234041"/>
    <w:rsid w:val="0024119D"/>
    <w:rsid w:val="002412FC"/>
    <w:rsid w:val="0025336D"/>
    <w:rsid w:val="002734E0"/>
    <w:rsid w:val="00277EC9"/>
    <w:rsid w:val="00283839"/>
    <w:rsid w:val="00285174"/>
    <w:rsid w:val="002950CE"/>
    <w:rsid w:val="00297E84"/>
    <w:rsid w:val="002C5A3B"/>
    <w:rsid w:val="002D671B"/>
    <w:rsid w:val="002E4852"/>
    <w:rsid w:val="002E5D09"/>
    <w:rsid w:val="002F02CB"/>
    <w:rsid w:val="00301521"/>
    <w:rsid w:val="00304BB2"/>
    <w:rsid w:val="00305153"/>
    <w:rsid w:val="00310B4C"/>
    <w:rsid w:val="00335F90"/>
    <w:rsid w:val="003417D8"/>
    <w:rsid w:val="003535DF"/>
    <w:rsid w:val="00360B2C"/>
    <w:rsid w:val="003610AB"/>
    <w:rsid w:val="00362133"/>
    <w:rsid w:val="00366245"/>
    <w:rsid w:val="00373A71"/>
    <w:rsid w:val="00374EDD"/>
    <w:rsid w:val="00381288"/>
    <w:rsid w:val="0038337C"/>
    <w:rsid w:val="003872B9"/>
    <w:rsid w:val="00387661"/>
    <w:rsid w:val="0039321B"/>
    <w:rsid w:val="00397F3B"/>
    <w:rsid w:val="003A1255"/>
    <w:rsid w:val="003B5F20"/>
    <w:rsid w:val="003B6034"/>
    <w:rsid w:val="003C34CE"/>
    <w:rsid w:val="003C5F85"/>
    <w:rsid w:val="003E2FC5"/>
    <w:rsid w:val="003E571B"/>
    <w:rsid w:val="003F5619"/>
    <w:rsid w:val="003F7DFE"/>
    <w:rsid w:val="00402596"/>
    <w:rsid w:val="00414D86"/>
    <w:rsid w:val="00441067"/>
    <w:rsid w:val="00442DFE"/>
    <w:rsid w:val="00444785"/>
    <w:rsid w:val="00453F69"/>
    <w:rsid w:val="00455E7D"/>
    <w:rsid w:val="00461CB5"/>
    <w:rsid w:val="004725B8"/>
    <w:rsid w:val="00475A1B"/>
    <w:rsid w:val="00493337"/>
    <w:rsid w:val="004967AF"/>
    <w:rsid w:val="004A20B1"/>
    <w:rsid w:val="004A4DDD"/>
    <w:rsid w:val="004B01F9"/>
    <w:rsid w:val="004B040D"/>
    <w:rsid w:val="004C1283"/>
    <w:rsid w:val="004C3955"/>
    <w:rsid w:val="004C77EB"/>
    <w:rsid w:val="004E31FA"/>
    <w:rsid w:val="004E5BC7"/>
    <w:rsid w:val="005011C2"/>
    <w:rsid w:val="00506615"/>
    <w:rsid w:val="00510639"/>
    <w:rsid w:val="00515A2E"/>
    <w:rsid w:val="00525B2B"/>
    <w:rsid w:val="00525DE1"/>
    <w:rsid w:val="00550FF6"/>
    <w:rsid w:val="00562E0F"/>
    <w:rsid w:val="00573F30"/>
    <w:rsid w:val="0058090C"/>
    <w:rsid w:val="00584447"/>
    <w:rsid w:val="00592D32"/>
    <w:rsid w:val="0059660E"/>
    <w:rsid w:val="005A570B"/>
    <w:rsid w:val="005B3F25"/>
    <w:rsid w:val="005C1B73"/>
    <w:rsid w:val="005C25A9"/>
    <w:rsid w:val="005C4679"/>
    <w:rsid w:val="005C6D2D"/>
    <w:rsid w:val="005C72E3"/>
    <w:rsid w:val="005D2F6E"/>
    <w:rsid w:val="005D400A"/>
    <w:rsid w:val="005E03CD"/>
    <w:rsid w:val="005E20B3"/>
    <w:rsid w:val="005E70D5"/>
    <w:rsid w:val="006018D1"/>
    <w:rsid w:val="006019F5"/>
    <w:rsid w:val="0060796D"/>
    <w:rsid w:val="00611ACA"/>
    <w:rsid w:val="00612032"/>
    <w:rsid w:val="00612589"/>
    <w:rsid w:val="00616A2A"/>
    <w:rsid w:val="00626D3E"/>
    <w:rsid w:val="00640B09"/>
    <w:rsid w:val="00642AB8"/>
    <w:rsid w:val="006462E0"/>
    <w:rsid w:val="0065652B"/>
    <w:rsid w:val="00661E66"/>
    <w:rsid w:val="00666B11"/>
    <w:rsid w:val="006748D4"/>
    <w:rsid w:val="006859BC"/>
    <w:rsid w:val="00686688"/>
    <w:rsid w:val="00690F81"/>
    <w:rsid w:val="006A064B"/>
    <w:rsid w:val="006A0E3F"/>
    <w:rsid w:val="006A2348"/>
    <w:rsid w:val="006A421F"/>
    <w:rsid w:val="006A5267"/>
    <w:rsid w:val="006A6A21"/>
    <w:rsid w:val="006A7D86"/>
    <w:rsid w:val="006B0901"/>
    <w:rsid w:val="006B619E"/>
    <w:rsid w:val="006C1F1A"/>
    <w:rsid w:val="006C3017"/>
    <w:rsid w:val="006C69BB"/>
    <w:rsid w:val="006D07A2"/>
    <w:rsid w:val="006D753D"/>
    <w:rsid w:val="006E1F8F"/>
    <w:rsid w:val="006E666B"/>
    <w:rsid w:val="006F20B2"/>
    <w:rsid w:val="00700A28"/>
    <w:rsid w:val="00707559"/>
    <w:rsid w:val="007279C6"/>
    <w:rsid w:val="00730C41"/>
    <w:rsid w:val="00734396"/>
    <w:rsid w:val="00743AA8"/>
    <w:rsid w:val="00751583"/>
    <w:rsid w:val="007523CF"/>
    <w:rsid w:val="00754696"/>
    <w:rsid w:val="00763F78"/>
    <w:rsid w:val="00767CF8"/>
    <w:rsid w:val="00772EA1"/>
    <w:rsid w:val="007811AC"/>
    <w:rsid w:val="00781BB9"/>
    <w:rsid w:val="007821D8"/>
    <w:rsid w:val="0078311F"/>
    <w:rsid w:val="007A10EC"/>
    <w:rsid w:val="007A41A9"/>
    <w:rsid w:val="007A7453"/>
    <w:rsid w:val="007B4AA8"/>
    <w:rsid w:val="007B502F"/>
    <w:rsid w:val="007C1A7A"/>
    <w:rsid w:val="007C72A8"/>
    <w:rsid w:val="007D23C6"/>
    <w:rsid w:val="007D5261"/>
    <w:rsid w:val="007F2861"/>
    <w:rsid w:val="007F5A32"/>
    <w:rsid w:val="00801F52"/>
    <w:rsid w:val="0081075D"/>
    <w:rsid w:val="00811090"/>
    <w:rsid w:val="00825164"/>
    <w:rsid w:val="00840B25"/>
    <w:rsid w:val="008479FE"/>
    <w:rsid w:val="00855353"/>
    <w:rsid w:val="0086098A"/>
    <w:rsid w:val="00863476"/>
    <w:rsid w:val="00887A72"/>
    <w:rsid w:val="00890ACD"/>
    <w:rsid w:val="00897292"/>
    <w:rsid w:val="008A03C2"/>
    <w:rsid w:val="008A195F"/>
    <w:rsid w:val="008A2EEB"/>
    <w:rsid w:val="008A51FD"/>
    <w:rsid w:val="008A75E6"/>
    <w:rsid w:val="008B22A6"/>
    <w:rsid w:val="008B4A19"/>
    <w:rsid w:val="008D690E"/>
    <w:rsid w:val="008F27E9"/>
    <w:rsid w:val="00901448"/>
    <w:rsid w:val="00901CC5"/>
    <w:rsid w:val="00911EA1"/>
    <w:rsid w:val="0092187E"/>
    <w:rsid w:val="009313AF"/>
    <w:rsid w:val="0093208C"/>
    <w:rsid w:val="00936270"/>
    <w:rsid w:val="009437C5"/>
    <w:rsid w:val="0095177F"/>
    <w:rsid w:val="0095628C"/>
    <w:rsid w:val="0096381C"/>
    <w:rsid w:val="00972445"/>
    <w:rsid w:val="00975A4A"/>
    <w:rsid w:val="00976995"/>
    <w:rsid w:val="009805E6"/>
    <w:rsid w:val="0098407B"/>
    <w:rsid w:val="009862BD"/>
    <w:rsid w:val="009963E6"/>
    <w:rsid w:val="009B2CF9"/>
    <w:rsid w:val="009B4F27"/>
    <w:rsid w:val="009B7D44"/>
    <w:rsid w:val="009C30D5"/>
    <w:rsid w:val="009C5A98"/>
    <w:rsid w:val="009C68B1"/>
    <w:rsid w:val="009D4E6F"/>
    <w:rsid w:val="009D7D85"/>
    <w:rsid w:val="009E20FB"/>
    <w:rsid w:val="009F1704"/>
    <w:rsid w:val="009F456F"/>
    <w:rsid w:val="00A03615"/>
    <w:rsid w:val="00A06DAC"/>
    <w:rsid w:val="00A117F8"/>
    <w:rsid w:val="00A14111"/>
    <w:rsid w:val="00A31701"/>
    <w:rsid w:val="00A33EAA"/>
    <w:rsid w:val="00A34485"/>
    <w:rsid w:val="00A52ECD"/>
    <w:rsid w:val="00A57663"/>
    <w:rsid w:val="00A6474A"/>
    <w:rsid w:val="00A6683C"/>
    <w:rsid w:val="00A86D44"/>
    <w:rsid w:val="00AA0B9F"/>
    <w:rsid w:val="00AA4530"/>
    <w:rsid w:val="00AA6671"/>
    <w:rsid w:val="00AA7C9E"/>
    <w:rsid w:val="00AB0FA4"/>
    <w:rsid w:val="00AC5DAA"/>
    <w:rsid w:val="00AE37D7"/>
    <w:rsid w:val="00AE3B5C"/>
    <w:rsid w:val="00AE5F4A"/>
    <w:rsid w:val="00AE607D"/>
    <w:rsid w:val="00AF74DD"/>
    <w:rsid w:val="00B026C0"/>
    <w:rsid w:val="00B13949"/>
    <w:rsid w:val="00B2236B"/>
    <w:rsid w:val="00B408D4"/>
    <w:rsid w:val="00B41A52"/>
    <w:rsid w:val="00B431F3"/>
    <w:rsid w:val="00B46856"/>
    <w:rsid w:val="00B554A7"/>
    <w:rsid w:val="00B732BF"/>
    <w:rsid w:val="00B75555"/>
    <w:rsid w:val="00B7563E"/>
    <w:rsid w:val="00B873A6"/>
    <w:rsid w:val="00BD0B82"/>
    <w:rsid w:val="00BD2147"/>
    <w:rsid w:val="00BD4956"/>
    <w:rsid w:val="00C01C06"/>
    <w:rsid w:val="00C05373"/>
    <w:rsid w:val="00C0604C"/>
    <w:rsid w:val="00C14896"/>
    <w:rsid w:val="00C22956"/>
    <w:rsid w:val="00C22989"/>
    <w:rsid w:val="00C356B1"/>
    <w:rsid w:val="00C43C8B"/>
    <w:rsid w:val="00C46FE9"/>
    <w:rsid w:val="00C55461"/>
    <w:rsid w:val="00C60678"/>
    <w:rsid w:val="00C6319D"/>
    <w:rsid w:val="00C72130"/>
    <w:rsid w:val="00C72E96"/>
    <w:rsid w:val="00C737AF"/>
    <w:rsid w:val="00C7517A"/>
    <w:rsid w:val="00CA127A"/>
    <w:rsid w:val="00CA2776"/>
    <w:rsid w:val="00CB0FEB"/>
    <w:rsid w:val="00CC3C9C"/>
    <w:rsid w:val="00CD27C4"/>
    <w:rsid w:val="00CE173A"/>
    <w:rsid w:val="00CF4D9E"/>
    <w:rsid w:val="00D107D8"/>
    <w:rsid w:val="00D44DDC"/>
    <w:rsid w:val="00D477D0"/>
    <w:rsid w:val="00D54304"/>
    <w:rsid w:val="00D5713B"/>
    <w:rsid w:val="00D64941"/>
    <w:rsid w:val="00D746A6"/>
    <w:rsid w:val="00DA0999"/>
    <w:rsid w:val="00DA7131"/>
    <w:rsid w:val="00DB4514"/>
    <w:rsid w:val="00DE21F1"/>
    <w:rsid w:val="00DF5D93"/>
    <w:rsid w:val="00E0513A"/>
    <w:rsid w:val="00E138AC"/>
    <w:rsid w:val="00E16E51"/>
    <w:rsid w:val="00E21D9F"/>
    <w:rsid w:val="00E338D7"/>
    <w:rsid w:val="00E34CCA"/>
    <w:rsid w:val="00E35EAD"/>
    <w:rsid w:val="00E436FA"/>
    <w:rsid w:val="00E515AC"/>
    <w:rsid w:val="00E52D93"/>
    <w:rsid w:val="00E7658B"/>
    <w:rsid w:val="00E77FF3"/>
    <w:rsid w:val="00E80A20"/>
    <w:rsid w:val="00E821F8"/>
    <w:rsid w:val="00E838DA"/>
    <w:rsid w:val="00E87493"/>
    <w:rsid w:val="00E92129"/>
    <w:rsid w:val="00E924A6"/>
    <w:rsid w:val="00E97C65"/>
    <w:rsid w:val="00EA2F70"/>
    <w:rsid w:val="00EA79CE"/>
    <w:rsid w:val="00EA7A73"/>
    <w:rsid w:val="00EB1EDA"/>
    <w:rsid w:val="00EB237B"/>
    <w:rsid w:val="00EB319F"/>
    <w:rsid w:val="00EB623C"/>
    <w:rsid w:val="00EC22E5"/>
    <w:rsid w:val="00EC6B4D"/>
    <w:rsid w:val="00ED0157"/>
    <w:rsid w:val="00ED2E0B"/>
    <w:rsid w:val="00EE3F52"/>
    <w:rsid w:val="00EE4E95"/>
    <w:rsid w:val="00EE55E1"/>
    <w:rsid w:val="00EE6A1A"/>
    <w:rsid w:val="00EF2CCD"/>
    <w:rsid w:val="00EF3161"/>
    <w:rsid w:val="00F01152"/>
    <w:rsid w:val="00F065F3"/>
    <w:rsid w:val="00F079F8"/>
    <w:rsid w:val="00F14F17"/>
    <w:rsid w:val="00F153D6"/>
    <w:rsid w:val="00F34E85"/>
    <w:rsid w:val="00F40979"/>
    <w:rsid w:val="00F43728"/>
    <w:rsid w:val="00F47AE8"/>
    <w:rsid w:val="00F60581"/>
    <w:rsid w:val="00F62759"/>
    <w:rsid w:val="00F86F01"/>
    <w:rsid w:val="00F87CEF"/>
    <w:rsid w:val="00FA2FDF"/>
    <w:rsid w:val="00FC1E2F"/>
    <w:rsid w:val="00FC59A1"/>
    <w:rsid w:val="00FC7765"/>
    <w:rsid w:val="00FD2E57"/>
    <w:rsid w:val="00FE5E56"/>
    <w:rsid w:val="174C131E"/>
    <w:rsid w:val="2A1437C3"/>
    <w:rsid w:val="4C0D02CB"/>
    <w:rsid w:val="60D3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8"/>
    <w:qFormat/>
    <w:uiPriority w:val="0"/>
    <w:pPr>
      <w:keepNext/>
      <w:keepLines/>
      <w:pageBreakBefore/>
      <w:spacing w:before="156" w:beforeLines="50" w:after="156" w:afterLines="50"/>
      <w:ind w:left="432" w:hanging="432"/>
      <w:jc w:val="center"/>
      <w:outlineLvl w:val="0"/>
    </w:pPr>
    <w:rPr>
      <w:rFonts w:ascii="宋体" w:hAnsi="宋体" w:cs="宋体"/>
      <w:b/>
      <w:bCs/>
      <w:sz w:val="32"/>
      <w:szCs w:val="32"/>
    </w:rPr>
  </w:style>
  <w:style w:type="paragraph" w:styleId="3">
    <w:name w:val="heading 2"/>
    <w:basedOn w:val="1"/>
    <w:next w:val="4"/>
    <w:link w:val="25"/>
    <w:qFormat/>
    <w:uiPriority w:val="0"/>
    <w:pPr>
      <w:keepNext/>
      <w:keepLines/>
      <w:numPr>
        <w:ilvl w:val="1"/>
        <w:numId w:val="1"/>
      </w:numPr>
      <w:outlineLvl w:val="1"/>
    </w:pPr>
    <w:rPr>
      <w:rFonts w:ascii="宋体" w:hAnsi="Arial"/>
      <w:b/>
      <w:bCs/>
      <w:color w:val="000000"/>
      <w:sz w:val="28"/>
      <w:szCs w:val="28"/>
    </w:rPr>
  </w:style>
  <w:style w:type="paragraph" w:styleId="5">
    <w:name w:val="heading 3"/>
    <w:basedOn w:val="1"/>
    <w:next w:val="1"/>
    <w:link w:val="22"/>
    <w:qFormat/>
    <w:uiPriority w:val="0"/>
    <w:pPr>
      <w:keepNext/>
      <w:keepLines/>
      <w:numPr>
        <w:ilvl w:val="2"/>
        <w:numId w:val="1"/>
      </w:numPr>
      <w:spacing w:line="413" w:lineRule="auto"/>
      <w:outlineLvl w:val="2"/>
    </w:pPr>
    <w:rPr>
      <w:b/>
      <w:bCs/>
      <w:sz w:val="28"/>
      <w:szCs w:val="28"/>
    </w:rPr>
  </w:style>
  <w:style w:type="paragraph" w:styleId="6">
    <w:name w:val="heading 4"/>
    <w:basedOn w:val="1"/>
    <w:next w:val="1"/>
    <w:link w:val="23"/>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7">
    <w:name w:val="heading 5"/>
    <w:basedOn w:val="1"/>
    <w:next w:val="1"/>
    <w:link w:val="36"/>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50"/>
    <w:autoRedefine/>
    <w:unhideWhenUsed/>
    <w:qFormat/>
    <w:uiPriority w:val="0"/>
    <w:pPr>
      <w:keepNext/>
      <w:keepLines/>
      <w:spacing w:before="240" w:after="64" w:line="320" w:lineRule="auto"/>
      <w:ind w:left="1296" w:hanging="1296" w:firstLineChars="200"/>
      <w:outlineLvl w:val="6"/>
    </w:pPr>
    <w:rPr>
      <w:rFonts w:ascii="宋体" w:hAnsi="宋体" w:cs="宋体"/>
      <w:b/>
      <w:bCs/>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9">
    <w:name w:val="Document Map"/>
    <w:basedOn w:val="1"/>
    <w:link w:val="35"/>
    <w:unhideWhenUsed/>
    <w:qFormat/>
    <w:uiPriority w:val="99"/>
    <w:rPr>
      <w:rFonts w:ascii="宋体"/>
      <w:sz w:val="18"/>
      <w:szCs w:val="18"/>
    </w:rPr>
  </w:style>
  <w:style w:type="paragraph" w:styleId="10">
    <w:name w:val="annotation text"/>
    <w:basedOn w:val="1"/>
    <w:link w:val="42"/>
    <w:unhideWhenUsed/>
    <w:qFormat/>
    <w:uiPriority w:val="99"/>
    <w:pPr>
      <w:suppressAutoHyphens/>
      <w:spacing w:after="60"/>
      <w:jc w:val="left"/>
    </w:pPr>
    <w:rPr>
      <w:rFonts w:eastAsiaTheme="minorEastAsia"/>
      <w:kern w:val="0"/>
      <w:sz w:val="20"/>
      <w:szCs w:val="20"/>
    </w:rPr>
  </w:style>
  <w:style w:type="paragraph" w:styleId="11">
    <w:name w:val="Body Text"/>
    <w:basedOn w:val="1"/>
    <w:link w:val="41"/>
    <w:qFormat/>
    <w:uiPriority w:val="0"/>
    <w:rPr>
      <w:b/>
      <w:bCs/>
    </w:rPr>
  </w:style>
  <w:style w:type="paragraph" w:styleId="12">
    <w:name w:val="Balloon Text"/>
    <w:basedOn w:val="1"/>
    <w:link w:val="38"/>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24"/>
    <w:qFormat/>
    <w:uiPriority w:val="0"/>
    <w:pPr>
      <w:spacing w:before="240" w:after="60" w:line="312" w:lineRule="auto"/>
      <w:jc w:val="left"/>
      <w:outlineLvl w:val="1"/>
    </w:pPr>
    <w:rPr>
      <w:rFonts w:ascii="Cambria" w:hAnsi="Cambria" w:cstheme="minorBidi"/>
      <w:b/>
      <w:bCs/>
      <w:kern w:val="28"/>
      <w:sz w:val="32"/>
      <w:szCs w:val="32"/>
    </w:rPr>
  </w:style>
  <w:style w:type="paragraph" w:styleId="16">
    <w:name w:val="Normal (Web)"/>
    <w:basedOn w:val="1"/>
    <w:unhideWhenUsed/>
    <w:qFormat/>
    <w:uiPriority w:val="99"/>
    <w:pPr>
      <w:widowControl/>
      <w:spacing w:before="100" w:beforeAutospacing="1" w:after="100" w:afterAutospacing="1" w:line="240" w:lineRule="auto"/>
      <w:jc w:val="left"/>
    </w:pPr>
    <w:rPr>
      <w:rFonts w:ascii="宋体" w:hAnsi="宋体" w:cs="宋体"/>
      <w:kern w:val="0"/>
    </w:rPr>
  </w:style>
  <w:style w:type="paragraph" w:styleId="17">
    <w:name w:val="Title"/>
    <w:basedOn w:val="1"/>
    <w:next w:val="1"/>
    <w:link w:val="26"/>
    <w:qFormat/>
    <w:uiPriority w:val="0"/>
    <w:pPr>
      <w:numPr>
        <w:ilvl w:val="0"/>
        <w:numId w:val="1"/>
      </w:numPr>
      <w:jc w:val="left"/>
      <w:outlineLvl w:val="0"/>
    </w:pPr>
    <w:rPr>
      <w:rFonts w:ascii="Cambria" w:hAnsi="Cambria" w:cstheme="minorBidi"/>
      <w:b/>
      <w:bCs/>
      <w:sz w:val="32"/>
      <w:szCs w:val="32"/>
    </w:rPr>
  </w:style>
  <w:style w:type="character" w:styleId="20">
    <w:name w:val="annotation reference"/>
    <w:basedOn w:val="19"/>
    <w:unhideWhenUsed/>
    <w:qFormat/>
    <w:uiPriority w:val="99"/>
    <w:rPr>
      <w:sz w:val="21"/>
      <w:szCs w:val="21"/>
    </w:rPr>
  </w:style>
  <w:style w:type="character" w:customStyle="1" w:styleId="21">
    <w:name w:val="标题 2 Char"/>
    <w:basedOn w:val="19"/>
    <w:semiHidden/>
    <w:qFormat/>
    <w:uiPriority w:val="9"/>
    <w:rPr>
      <w:rFonts w:asciiTheme="majorHAnsi" w:hAnsiTheme="majorHAnsi" w:eastAsiaTheme="majorEastAsia" w:cstheme="majorBidi"/>
      <w:b/>
      <w:bCs/>
      <w:sz w:val="32"/>
      <w:szCs w:val="32"/>
    </w:rPr>
  </w:style>
  <w:style w:type="character" w:customStyle="1" w:styleId="22">
    <w:name w:val="标题 3 字符"/>
    <w:basedOn w:val="19"/>
    <w:link w:val="5"/>
    <w:qFormat/>
    <w:uiPriority w:val="0"/>
    <w:rPr>
      <w:rFonts w:ascii="Times New Roman" w:hAnsi="Times New Roman" w:eastAsia="宋体" w:cs="Times New Roman"/>
      <w:b/>
      <w:bCs/>
      <w:kern w:val="2"/>
      <w:sz w:val="28"/>
      <w:szCs w:val="28"/>
    </w:rPr>
  </w:style>
  <w:style w:type="character" w:customStyle="1" w:styleId="23">
    <w:name w:val="标题 4 字符"/>
    <w:basedOn w:val="19"/>
    <w:link w:val="6"/>
    <w:qFormat/>
    <w:uiPriority w:val="0"/>
    <w:rPr>
      <w:rFonts w:ascii="Arial" w:hAnsi="Arial" w:eastAsia="黑体" w:cs="Times New Roman"/>
      <w:b/>
      <w:bCs/>
      <w:kern w:val="2"/>
      <w:sz w:val="28"/>
      <w:szCs w:val="28"/>
    </w:rPr>
  </w:style>
  <w:style w:type="character" w:customStyle="1" w:styleId="24">
    <w:name w:val="副标题 字符"/>
    <w:link w:val="15"/>
    <w:qFormat/>
    <w:locked/>
    <w:uiPriority w:val="0"/>
    <w:rPr>
      <w:rFonts w:ascii="Cambria" w:hAnsi="Cambria" w:eastAsia="宋体"/>
      <w:b/>
      <w:bCs/>
      <w:kern w:val="28"/>
      <w:sz w:val="32"/>
      <w:szCs w:val="32"/>
    </w:rPr>
  </w:style>
  <w:style w:type="character" w:customStyle="1" w:styleId="25">
    <w:name w:val="标题 2 字符"/>
    <w:link w:val="3"/>
    <w:qFormat/>
    <w:locked/>
    <w:uiPriority w:val="0"/>
    <w:rPr>
      <w:rFonts w:ascii="宋体" w:hAnsi="Arial" w:eastAsia="宋体" w:cs="Times New Roman"/>
      <w:b/>
      <w:bCs/>
      <w:color w:val="000000"/>
      <w:kern w:val="2"/>
      <w:sz w:val="28"/>
      <w:szCs w:val="28"/>
    </w:rPr>
  </w:style>
  <w:style w:type="character" w:customStyle="1" w:styleId="26">
    <w:name w:val="标题 字符"/>
    <w:link w:val="17"/>
    <w:qFormat/>
    <w:locked/>
    <w:uiPriority w:val="0"/>
    <w:rPr>
      <w:rFonts w:ascii="Cambria" w:hAnsi="Cambria" w:eastAsia="宋体"/>
      <w:b/>
      <w:bCs/>
      <w:kern w:val="2"/>
      <w:sz w:val="32"/>
      <w:szCs w:val="32"/>
    </w:rPr>
  </w:style>
  <w:style w:type="character" w:customStyle="1" w:styleId="27">
    <w:name w:val="标题 Char1"/>
    <w:basedOn w:val="19"/>
    <w:qFormat/>
    <w:uiPriority w:val="10"/>
    <w:rPr>
      <w:rFonts w:eastAsia="宋体" w:asciiTheme="majorHAnsi" w:hAnsiTheme="majorHAnsi" w:cstheme="majorBidi"/>
      <w:b/>
      <w:bCs/>
      <w:sz w:val="32"/>
      <w:szCs w:val="32"/>
    </w:rPr>
  </w:style>
  <w:style w:type="character" w:customStyle="1" w:styleId="28">
    <w:name w:val="副标题 Char1"/>
    <w:basedOn w:val="19"/>
    <w:qFormat/>
    <w:uiPriority w:val="11"/>
    <w:rPr>
      <w:rFonts w:eastAsia="宋体" w:asciiTheme="majorHAnsi" w:hAnsiTheme="majorHAnsi" w:cstheme="majorBidi"/>
      <w:b/>
      <w:bCs/>
      <w:kern w:val="28"/>
      <w:sz w:val="32"/>
      <w:szCs w:val="32"/>
    </w:rPr>
  </w:style>
  <w:style w:type="paragraph" w:customStyle="1" w:styleId="29">
    <w:name w:val="列出段落1"/>
    <w:basedOn w:val="1"/>
    <w:link w:val="32"/>
    <w:qFormat/>
    <w:uiPriority w:val="34"/>
    <w:pPr>
      <w:widowControl/>
      <w:spacing w:after="200" w:line="276" w:lineRule="auto"/>
      <w:ind w:left="720"/>
      <w:contextualSpacing/>
      <w:jc w:val="left"/>
    </w:pPr>
    <w:rPr>
      <w:rFonts w:ascii="Calibri" w:hAnsi="Calibri"/>
      <w:kern w:val="0"/>
      <w:sz w:val="22"/>
      <w:szCs w:val="22"/>
    </w:rPr>
  </w:style>
  <w:style w:type="paragraph" w:customStyle="1" w:styleId="30">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31">
    <w:name w:val="样式 样式 小四 行距: 1.5 倍行距 + 首行缩进:  3 字符"/>
    <w:basedOn w:val="1"/>
    <w:qFormat/>
    <w:uiPriority w:val="0"/>
    <w:pPr>
      <w:ind w:firstLine="420" w:firstLineChars="200"/>
    </w:pPr>
    <w:rPr>
      <w:rFonts w:ascii="宋体" w:hAnsi="宋体" w:cs="宋体"/>
      <w:szCs w:val="21"/>
    </w:rPr>
  </w:style>
  <w:style w:type="character" w:customStyle="1" w:styleId="32">
    <w:name w:val="列出段落 Char"/>
    <w:link w:val="29"/>
    <w:qFormat/>
    <w:uiPriority w:val="34"/>
    <w:rPr>
      <w:rFonts w:ascii="Calibri" w:hAnsi="Calibri" w:eastAsia="宋体" w:cs="Times New Roman"/>
      <w:kern w:val="0"/>
      <w:sz w:val="22"/>
    </w:rPr>
  </w:style>
  <w:style w:type="character" w:customStyle="1" w:styleId="33">
    <w:name w:val="页眉 字符"/>
    <w:basedOn w:val="19"/>
    <w:link w:val="14"/>
    <w:qFormat/>
    <w:uiPriority w:val="99"/>
    <w:rPr>
      <w:rFonts w:ascii="Times New Roman" w:hAnsi="Times New Roman" w:eastAsia="宋体" w:cs="Times New Roman"/>
      <w:sz w:val="18"/>
      <w:szCs w:val="18"/>
    </w:rPr>
  </w:style>
  <w:style w:type="character" w:customStyle="1" w:styleId="34">
    <w:name w:val="页脚 字符"/>
    <w:basedOn w:val="19"/>
    <w:link w:val="13"/>
    <w:qFormat/>
    <w:uiPriority w:val="99"/>
    <w:rPr>
      <w:rFonts w:ascii="Times New Roman" w:hAnsi="Times New Roman" w:eastAsia="宋体" w:cs="Times New Roman"/>
      <w:sz w:val="18"/>
      <w:szCs w:val="18"/>
    </w:rPr>
  </w:style>
  <w:style w:type="character" w:customStyle="1" w:styleId="35">
    <w:name w:val="文档结构图 字符"/>
    <w:basedOn w:val="19"/>
    <w:link w:val="9"/>
    <w:semiHidden/>
    <w:qFormat/>
    <w:uiPriority w:val="99"/>
    <w:rPr>
      <w:rFonts w:ascii="宋体" w:hAnsi="Times New Roman" w:eastAsia="宋体" w:cs="Times New Roman"/>
      <w:sz w:val="18"/>
      <w:szCs w:val="18"/>
    </w:rPr>
  </w:style>
  <w:style w:type="character" w:customStyle="1" w:styleId="36">
    <w:name w:val="标题 5 字符"/>
    <w:basedOn w:val="19"/>
    <w:link w:val="7"/>
    <w:qFormat/>
    <w:uiPriority w:val="9"/>
    <w:rPr>
      <w:rFonts w:ascii="Times New Roman" w:hAnsi="Times New Roman" w:eastAsia="宋体" w:cs="Times New Roman"/>
      <w:b/>
      <w:bCs/>
      <w:sz w:val="28"/>
      <w:szCs w:val="28"/>
    </w:rPr>
  </w:style>
  <w:style w:type="character" w:customStyle="1" w:styleId="37">
    <w:name w:val="占位符文本1"/>
    <w:basedOn w:val="19"/>
    <w:semiHidden/>
    <w:qFormat/>
    <w:uiPriority w:val="99"/>
    <w:rPr>
      <w:color w:val="808080"/>
    </w:rPr>
  </w:style>
  <w:style w:type="character" w:customStyle="1" w:styleId="38">
    <w:name w:val="批注框文本 字符"/>
    <w:basedOn w:val="19"/>
    <w:link w:val="12"/>
    <w:semiHidden/>
    <w:qFormat/>
    <w:uiPriority w:val="99"/>
    <w:rPr>
      <w:rFonts w:ascii="Times New Roman" w:hAnsi="Times New Roman" w:eastAsia="宋体" w:cs="Times New Roman"/>
      <w:sz w:val="18"/>
      <w:szCs w:val="18"/>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正文文本 Char"/>
    <w:basedOn w:val="19"/>
    <w:semiHidden/>
    <w:qFormat/>
    <w:uiPriority w:val="99"/>
    <w:rPr>
      <w:rFonts w:ascii="Times New Roman" w:hAnsi="Times New Roman" w:eastAsia="宋体" w:cs="Times New Roman"/>
      <w:szCs w:val="24"/>
    </w:rPr>
  </w:style>
  <w:style w:type="character" w:customStyle="1" w:styleId="41">
    <w:name w:val="正文文本 字符"/>
    <w:link w:val="11"/>
    <w:qFormat/>
    <w:uiPriority w:val="0"/>
    <w:rPr>
      <w:rFonts w:ascii="Times New Roman" w:hAnsi="Times New Roman" w:eastAsia="宋体" w:cs="Times New Roman"/>
      <w:b/>
      <w:bCs/>
      <w:sz w:val="24"/>
      <w:szCs w:val="24"/>
    </w:rPr>
  </w:style>
  <w:style w:type="character" w:customStyle="1" w:styleId="42">
    <w:name w:val="批注文字 字符"/>
    <w:basedOn w:val="19"/>
    <w:link w:val="10"/>
    <w:semiHidden/>
    <w:qFormat/>
    <w:uiPriority w:val="99"/>
    <w:rPr>
      <w:rFonts w:ascii="Times New Roman" w:hAnsi="Times New Roman" w:cs="Times New Roman"/>
      <w:kern w:val="0"/>
      <w:sz w:val="20"/>
      <w:szCs w:val="20"/>
    </w:rPr>
  </w:style>
  <w:style w:type="character" w:customStyle="1" w:styleId="43">
    <w:name w:val="font01"/>
    <w:qFormat/>
    <w:uiPriority w:val="0"/>
    <w:rPr>
      <w:rFonts w:hint="eastAsia" w:ascii="宋体" w:hAnsi="宋体" w:eastAsia="宋体" w:cs="宋体"/>
      <w:color w:val="000000"/>
      <w:sz w:val="22"/>
      <w:szCs w:val="22"/>
      <w:u w:val="none"/>
    </w:rPr>
  </w:style>
  <w:style w:type="paragraph" w:customStyle="1" w:styleId="44">
    <w:name w:val="列出段落11"/>
    <w:basedOn w:val="1"/>
    <w:link w:val="53"/>
    <w:qFormat/>
    <w:uiPriority w:val="34"/>
    <w:pPr>
      <w:ind w:firstLine="420" w:firstLineChars="200"/>
    </w:pPr>
    <w:rPr>
      <w:szCs w:val="22"/>
    </w:rPr>
  </w:style>
  <w:style w:type="character" w:customStyle="1" w:styleId="45">
    <w:name w:val="表格文字 Char"/>
    <w:link w:val="46"/>
    <w:qFormat/>
    <w:locked/>
    <w:uiPriority w:val="0"/>
    <w:rPr>
      <w:bCs/>
      <w:spacing w:val="10"/>
      <w:sz w:val="24"/>
      <w:szCs w:val="24"/>
    </w:rPr>
  </w:style>
  <w:style w:type="paragraph" w:customStyle="1" w:styleId="46">
    <w:name w:val="表格文字"/>
    <w:basedOn w:val="1"/>
    <w:link w:val="45"/>
    <w:qFormat/>
    <w:uiPriority w:val="0"/>
    <w:pPr>
      <w:spacing w:before="25" w:after="25" w:line="240" w:lineRule="auto"/>
      <w:jc w:val="left"/>
    </w:pPr>
    <w:rPr>
      <w:rFonts w:asciiTheme="minorHAnsi" w:hAnsiTheme="minorHAnsi" w:eastAsiaTheme="minorEastAsia" w:cstheme="minorBidi"/>
      <w:bCs/>
      <w:spacing w:val="10"/>
    </w:rPr>
  </w:style>
  <w:style w:type="paragraph" w:styleId="47">
    <w:name w:val="List Paragraph"/>
    <w:basedOn w:val="1"/>
    <w:qFormat/>
    <w:uiPriority w:val="99"/>
    <w:pPr>
      <w:ind w:firstLine="420" w:firstLineChars="200"/>
    </w:pPr>
  </w:style>
  <w:style w:type="character" w:customStyle="1" w:styleId="48">
    <w:name w:val="标题 1 字符"/>
    <w:basedOn w:val="19"/>
    <w:link w:val="2"/>
    <w:qFormat/>
    <w:uiPriority w:val="0"/>
    <w:rPr>
      <w:rFonts w:ascii="宋体" w:hAnsi="宋体" w:eastAsia="宋体" w:cs="宋体"/>
      <w:b/>
      <w:bCs/>
      <w:kern w:val="2"/>
      <w:sz w:val="32"/>
      <w:szCs w:val="32"/>
    </w:rPr>
  </w:style>
  <w:style w:type="paragraph" w:customStyle="1" w:styleId="49">
    <w:name w:val="标题 61"/>
    <w:basedOn w:val="1"/>
    <w:next w:val="1"/>
    <w:autoRedefine/>
    <w:unhideWhenUsed/>
    <w:qFormat/>
    <w:uiPriority w:val="0"/>
    <w:pPr>
      <w:keepNext/>
      <w:keepLines/>
      <w:spacing w:before="240" w:after="64" w:line="320" w:lineRule="auto"/>
      <w:ind w:left="3260" w:hanging="1134" w:firstLineChars="200"/>
      <w:outlineLvl w:val="5"/>
    </w:pPr>
    <w:rPr>
      <w:rFonts w:ascii="等线 Light" w:hAnsi="等线 Light" w:eastAsia="等线 Light"/>
      <w:b/>
      <w:bCs/>
    </w:rPr>
  </w:style>
  <w:style w:type="character" w:customStyle="1" w:styleId="50">
    <w:name w:val="标题 7 字符"/>
    <w:basedOn w:val="19"/>
    <w:link w:val="8"/>
    <w:qFormat/>
    <w:uiPriority w:val="0"/>
    <w:rPr>
      <w:rFonts w:ascii="宋体" w:hAnsi="宋体" w:eastAsia="宋体" w:cs="宋体"/>
      <w:b/>
      <w:bCs/>
      <w:kern w:val="2"/>
      <w:sz w:val="24"/>
      <w:szCs w:val="24"/>
    </w:rPr>
  </w:style>
  <w:style w:type="paragraph" w:customStyle="1" w:styleId="51">
    <w:name w:val="标题 81"/>
    <w:basedOn w:val="1"/>
    <w:next w:val="1"/>
    <w:autoRedefine/>
    <w:unhideWhenUsed/>
    <w:qFormat/>
    <w:uiPriority w:val="0"/>
    <w:pPr>
      <w:keepNext/>
      <w:keepLines/>
      <w:spacing w:before="240" w:after="64" w:line="320" w:lineRule="auto"/>
      <w:ind w:left="4394" w:hanging="1418" w:firstLineChars="200"/>
      <w:outlineLvl w:val="7"/>
    </w:pPr>
    <w:rPr>
      <w:rFonts w:ascii="等线 Light" w:hAnsi="等线 Light" w:eastAsia="等线 Light"/>
    </w:rPr>
  </w:style>
  <w:style w:type="paragraph" w:customStyle="1" w:styleId="52">
    <w:name w:val="标题 91"/>
    <w:basedOn w:val="1"/>
    <w:next w:val="1"/>
    <w:autoRedefine/>
    <w:unhideWhenUsed/>
    <w:qFormat/>
    <w:uiPriority w:val="0"/>
    <w:pPr>
      <w:keepNext/>
      <w:keepLines/>
      <w:spacing w:before="240" w:after="64" w:line="320" w:lineRule="auto"/>
      <w:ind w:left="5102" w:hanging="1700" w:firstLineChars="200"/>
      <w:outlineLvl w:val="8"/>
    </w:pPr>
    <w:rPr>
      <w:rFonts w:ascii="等线 Light" w:hAnsi="等线 Light" w:eastAsia="等线 Light"/>
      <w:sz w:val="21"/>
      <w:szCs w:val="21"/>
    </w:rPr>
  </w:style>
  <w:style w:type="character" w:customStyle="1" w:styleId="53">
    <w:name w:val="List Paragraph Char"/>
    <w:link w:val="44"/>
    <w:qFormat/>
    <w:uiPriority w:val="34"/>
    <w:rPr>
      <w:rFonts w:ascii="Times New Roman" w:hAnsi="Times New Roman" w:eastAsia="宋体" w:cs="Times New Roman"/>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4C35-636C-490B-A5AD-F98FBD7EED16}">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2196</Words>
  <Characters>2208</Characters>
  <Lines>56</Lines>
  <Paragraphs>15</Paragraphs>
  <TotalTime>12</TotalTime>
  <ScaleCrop>false</ScaleCrop>
  <LinksUpToDate>false</LinksUpToDate>
  <CharactersWithSpaces>2208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2025-09-16T06:59:00Z</dcterms:created>
  <dc:creator>Administrator</dc:creator>
  <cp:lastModifiedBy>张梦媛</cp:lastModifiedBy>
  <dcterms:modified xsi:type="dcterms:W3CDTF">2025-10-14T07:22:01Z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EAC3F621EEF743EFBA3E21A55B3D1D0E_12</vt:lpwstr>
  </property>
</Properties>
</file>