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4A30">
      <w:pPr>
        <w:pStyle w:val="13"/>
      </w:pPr>
      <w:r>
        <w:br w:type="textWrapping"/>
      </w:r>
      <w:r>
        <w:br w:type="textWrapping"/>
      </w:r>
      <w:r>
        <w:br w:type="textWrapping"/>
      </w:r>
      <w:r>
        <w:br w:type="textWrapping"/>
      </w:r>
      <w:r>
        <w:br w:type="textWrapping"/>
      </w:r>
    </w:p>
    <w:p w14:paraId="4859DC7D">
      <w:pPr>
        <w:pStyle w:val="13"/>
      </w:pPr>
    </w:p>
    <w:p w14:paraId="595AB6F6">
      <w:pPr>
        <w:pStyle w:val="13"/>
      </w:pPr>
    </w:p>
    <w:p w14:paraId="2E8D2F7E">
      <w:pPr>
        <w:pStyle w:val="13"/>
      </w:pPr>
    </w:p>
    <w:p w14:paraId="3A9A4C8D">
      <w:pPr>
        <w:pStyle w:val="13"/>
        <w:jc w:val="center"/>
        <w:outlineLvl w:val="0"/>
      </w:pPr>
      <w:r>
        <w:rPr>
          <w:rFonts w:hint="eastAsia"/>
          <w:b/>
          <w:sz w:val="48"/>
          <w:lang w:val="en-US" w:eastAsia="zh-CN"/>
        </w:rPr>
        <w:t>采购</w:t>
      </w:r>
      <w:r>
        <w:rPr>
          <w:b/>
          <w:sz w:val="48"/>
        </w:rPr>
        <w:t>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58DBF00F">
      <w:pPr>
        <w:pStyle w:val="13"/>
        <w:jc w:val="center"/>
        <w:outlineLvl w:val="3"/>
        <w:rPr>
          <w:rFonts w:hint="default"/>
          <w:b/>
          <w:sz w:val="24"/>
          <w:lang w:val="en-US" w:eastAsia="zh-CN"/>
        </w:rPr>
      </w:pPr>
      <w:r>
        <w:rPr>
          <w:b/>
          <w:sz w:val="24"/>
        </w:rPr>
        <w:t>项目名称：</w:t>
      </w:r>
      <w:r>
        <w:rPr>
          <w:rFonts w:hint="eastAsia"/>
          <w:b/>
          <w:sz w:val="24"/>
          <w:lang w:eastAsia="zh-CN"/>
        </w:rPr>
        <w:t>广东省生殖科学研究所（广东省生殖医院）</w:t>
      </w:r>
      <w:r>
        <w:rPr>
          <w:rFonts w:hint="eastAsia"/>
          <w:b/>
          <w:sz w:val="24"/>
          <w:lang w:val="en-US" w:eastAsia="zh-CN"/>
        </w:rPr>
        <w:t>2025年</w:t>
      </w:r>
      <w:r>
        <w:rPr>
          <w:rFonts w:hint="eastAsia"/>
          <w:b/>
          <w:sz w:val="24"/>
          <w:lang w:eastAsia="zh-CN"/>
        </w:rPr>
        <w:t>医疗责任保险</w:t>
      </w:r>
      <w:r>
        <w:rPr>
          <w:rFonts w:hint="eastAsia"/>
          <w:b/>
          <w:sz w:val="24"/>
          <w:lang w:val="en-US" w:eastAsia="zh-CN"/>
        </w:rPr>
        <w:t>服务</w:t>
      </w:r>
    </w:p>
    <w:p w14:paraId="23D9DB29">
      <w:pPr>
        <w:pStyle w:val="13"/>
        <w:jc w:val="center"/>
        <w:outlineLvl w:val="3"/>
        <w:rPr>
          <w:rFonts w:hint="eastAsia" w:eastAsiaTheme="minorEastAsia"/>
          <w:lang w:eastAsia="zh-CN"/>
        </w:rPr>
      </w:pPr>
      <w:r>
        <w:rPr>
          <w:b/>
          <w:sz w:val="24"/>
        </w:rPr>
        <w:t>采购人：</w:t>
      </w:r>
      <w:r>
        <w:rPr>
          <w:rFonts w:hint="eastAsia"/>
          <w:b/>
          <w:sz w:val="24"/>
          <w:lang w:eastAsia="zh-CN"/>
        </w:rPr>
        <w:t>广东省生殖科学研究所（广东省生殖医院）</w:t>
      </w:r>
    </w:p>
    <w:p w14:paraId="7BE90286">
      <w:pPr>
        <w:pStyle w:val="13"/>
        <w:ind w:firstLine="480"/>
      </w:pPr>
      <w:r>
        <w:t xml:space="preserve">  </w:t>
      </w:r>
      <w:r>
        <w:br w:type="textWrapping"/>
      </w:r>
    </w:p>
    <w:p w14:paraId="7FA2D396">
      <w:pPr>
        <w:rPr>
          <w:b/>
          <w:sz w:val="36"/>
        </w:rPr>
      </w:pPr>
      <w:r>
        <w:rPr>
          <w:b/>
          <w:sz w:val="36"/>
        </w:rPr>
        <w:br w:type="page"/>
      </w:r>
    </w:p>
    <w:p w14:paraId="6A49A470">
      <w:pPr>
        <w:pStyle w:val="13"/>
        <w:jc w:val="center"/>
        <w:outlineLvl w:val="1"/>
      </w:pPr>
      <w:r>
        <w:rPr>
          <w:b/>
          <w:sz w:val="36"/>
        </w:rPr>
        <w:t>第一章</w:t>
      </w:r>
      <w:r>
        <w:rPr>
          <w:rFonts w:hint="eastAsia"/>
          <w:b/>
          <w:sz w:val="36"/>
          <w:lang w:val="en-US" w:eastAsia="zh-CN"/>
        </w:rPr>
        <w:t xml:space="preserve"> 磋商</w:t>
      </w:r>
      <w:r>
        <w:rPr>
          <w:b/>
          <w:sz w:val="36"/>
        </w:rPr>
        <w:t>邀请</w:t>
      </w:r>
    </w:p>
    <w:p w14:paraId="76ED591F">
      <w:pPr>
        <w:pStyle w:val="13"/>
        <w:ind w:firstLine="480"/>
      </w:pPr>
      <w:r>
        <w:rPr>
          <w:rFonts w:hint="eastAsia"/>
          <w:lang w:eastAsia="zh-CN"/>
        </w:rPr>
        <w:t>广东省生殖科学研究所（广东省生殖医院</w:t>
      </w:r>
      <w:r>
        <w:rPr>
          <w:rFonts w:hint="eastAsia"/>
          <w:lang w:val="en-US" w:eastAsia="zh-CN"/>
        </w:rPr>
        <w:t>）拟对2025年医疗责任保险服务项目进行</w:t>
      </w:r>
      <w:r>
        <w:t>采购</w:t>
      </w:r>
      <w:r>
        <w:rPr>
          <w:rFonts w:hint="eastAsia"/>
          <w:lang w:eastAsia="zh-CN"/>
        </w:rPr>
        <w:t>，</w:t>
      </w:r>
      <w:r>
        <w:t>欢迎符合资格条件的国内供应商参加投标。</w:t>
      </w:r>
    </w:p>
    <w:p w14:paraId="261C949D">
      <w:pPr>
        <w:pStyle w:val="13"/>
        <w:outlineLvl w:val="2"/>
      </w:pPr>
      <w:r>
        <w:rPr>
          <w:rFonts w:hint="eastAsia"/>
          <w:b/>
          <w:sz w:val="28"/>
          <w:lang w:eastAsia="zh-CN"/>
        </w:rPr>
        <w:t>一、</w:t>
      </w:r>
      <w:r>
        <w:rPr>
          <w:b/>
          <w:sz w:val="28"/>
        </w:rPr>
        <w:t>项目概述</w:t>
      </w:r>
    </w:p>
    <w:p w14:paraId="344074FF">
      <w:pPr>
        <w:pStyle w:val="13"/>
        <w:outlineLvl w:val="3"/>
      </w:pPr>
      <w:r>
        <w:rPr>
          <w:b/>
          <w:sz w:val="24"/>
        </w:rPr>
        <w:t>1.名称</w:t>
      </w:r>
    </w:p>
    <w:p w14:paraId="21A69E65">
      <w:pPr>
        <w:pStyle w:val="13"/>
        <w:ind w:firstLine="480"/>
        <w:rPr>
          <w:rFonts w:hint="default"/>
          <w:lang w:val="en-US" w:eastAsia="zh-CN"/>
        </w:rPr>
      </w:pPr>
      <w:r>
        <w:t>项目名称：</w:t>
      </w:r>
      <w:r>
        <w:rPr>
          <w:rFonts w:hint="eastAsia"/>
          <w:lang w:eastAsia="zh-CN"/>
        </w:rPr>
        <w:t>广东省生殖科学研究所（广东省生殖医院）</w:t>
      </w:r>
      <w:r>
        <w:rPr>
          <w:rFonts w:hint="eastAsia"/>
          <w:lang w:val="en-US" w:eastAsia="zh-CN"/>
        </w:rPr>
        <w:t>2025年</w:t>
      </w:r>
      <w:r>
        <w:rPr>
          <w:rFonts w:hint="eastAsia"/>
          <w:lang w:eastAsia="zh-CN"/>
        </w:rPr>
        <w:t>医疗责任保险</w:t>
      </w:r>
      <w:r>
        <w:rPr>
          <w:rFonts w:hint="eastAsia"/>
          <w:lang w:val="en-US" w:eastAsia="zh-CN"/>
        </w:rPr>
        <w:t>服务</w:t>
      </w:r>
    </w:p>
    <w:p w14:paraId="29C0449E">
      <w:pPr>
        <w:pStyle w:val="13"/>
        <w:ind w:firstLine="480"/>
        <w:rPr>
          <w:rFonts w:hint="eastAsia" w:eastAsiaTheme="minorEastAsia"/>
          <w:lang w:val="en-US" w:eastAsia="zh-CN"/>
        </w:rPr>
      </w:pPr>
      <w:r>
        <w:rPr>
          <w:rFonts w:hint="eastAsia"/>
          <w:lang w:eastAsia="zh-CN"/>
        </w:rPr>
        <w:t>采购方式</w:t>
      </w:r>
      <w:r>
        <w:rPr>
          <w:rFonts w:hint="eastAsia"/>
          <w:highlight w:val="none"/>
          <w:lang w:eastAsia="zh-CN"/>
        </w:rPr>
        <w:t>：</w:t>
      </w:r>
      <w:r>
        <w:rPr>
          <w:rFonts w:hint="eastAsia"/>
          <w:highlight w:val="none"/>
          <w:lang w:val="en-US" w:eastAsia="zh-CN"/>
        </w:rPr>
        <w:t xml:space="preserve">竞争性磋商 </w:t>
      </w:r>
    </w:p>
    <w:p w14:paraId="2E84FB14">
      <w:pPr>
        <w:pStyle w:val="13"/>
        <w:outlineLvl w:val="3"/>
      </w:pPr>
      <w:r>
        <w:rPr>
          <w:b/>
          <w:sz w:val="24"/>
        </w:rPr>
        <w:t>2.项目内容及需求情况（采购项目技术规格、参数及要求）</w:t>
      </w:r>
    </w:p>
    <w:p w14:paraId="6FF5E9C2">
      <w:pPr>
        <w:pStyle w:val="13"/>
      </w:pPr>
      <w:r>
        <w:t>采购预算金额：</w:t>
      </w:r>
      <w:r>
        <w:rPr>
          <w:rFonts w:hint="eastAsia"/>
          <w:lang w:val="en-US" w:eastAsia="zh-CN"/>
        </w:rPr>
        <w:t>10</w:t>
      </w:r>
      <w:r>
        <w:rPr>
          <w:rFonts w:hint="eastAsia"/>
          <w:lang w:eastAsia="zh-CN"/>
        </w:rPr>
        <w:t>0,000.00</w:t>
      </w:r>
      <w:r>
        <w:t>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0"/>
        <w:gridCol w:w="3339"/>
        <w:gridCol w:w="2700"/>
        <w:gridCol w:w="1190"/>
      </w:tblGrid>
      <w:tr w14:paraId="62C64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8" w:hRule="atLeast"/>
        </w:trPr>
        <w:tc>
          <w:tcPr>
            <w:tcW w:w="1290" w:type="dxa"/>
            <w:vAlign w:val="center"/>
          </w:tcPr>
          <w:p w14:paraId="4690CF2C">
            <w:pPr>
              <w:pStyle w:val="13"/>
              <w:jc w:val="center"/>
              <w:rPr>
                <w:rFonts w:hint="eastAsia" w:eastAsiaTheme="minorEastAsia"/>
                <w:lang w:eastAsia="zh-CN"/>
              </w:rPr>
            </w:pPr>
            <w:r>
              <w:rPr>
                <w:rFonts w:hint="eastAsia"/>
                <w:lang w:val="en-US" w:eastAsia="zh-CN"/>
              </w:rPr>
              <w:t>序号</w:t>
            </w:r>
          </w:p>
        </w:tc>
        <w:tc>
          <w:tcPr>
            <w:tcW w:w="3339" w:type="dxa"/>
            <w:vAlign w:val="center"/>
          </w:tcPr>
          <w:p w14:paraId="286F5417">
            <w:pPr>
              <w:pStyle w:val="13"/>
              <w:jc w:val="center"/>
            </w:pPr>
            <w:r>
              <w:t>名称</w:t>
            </w:r>
          </w:p>
        </w:tc>
        <w:tc>
          <w:tcPr>
            <w:tcW w:w="2700" w:type="dxa"/>
            <w:vAlign w:val="center"/>
          </w:tcPr>
          <w:p w14:paraId="1E69990D">
            <w:pPr>
              <w:pStyle w:val="13"/>
              <w:jc w:val="center"/>
              <w:rPr>
                <w:rFonts w:hint="default" w:eastAsiaTheme="minorEastAsia"/>
                <w:lang w:val="en-US" w:eastAsia="zh-CN"/>
              </w:rPr>
            </w:pPr>
            <w:r>
              <w:rPr>
                <w:rFonts w:hint="eastAsia"/>
                <w:lang w:val="en-US" w:eastAsia="zh-CN"/>
              </w:rPr>
              <w:t>服务期限</w:t>
            </w:r>
          </w:p>
        </w:tc>
        <w:tc>
          <w:tcPr>
            <w:tcW w:w="1190" w:type="dxa"/>
            <w:vAlign w:val="center"/>
          </w:tcPr>
          <w:p w14:paraId="46308FB0">
            <w:pPr>
              <w:pStyle w:val="13"/>
              <w:jc w:val="center"/>
              <w:rPr>
                <w:rFonts w:hint="default"/>
                <w:lang w:val="en-US" w:eastAsia="zh-CN"/>
              </w:rPr>
            </w:pPr>
            <w:r>
              <w:rPr>
                <w:rFonts w:hint="eastAsia"/>
                <w:lang w:val="en-US" w:eastAsia="zh-CN"/>
              </w:rPr>
              <w:t>备注</w:t>
            </w:r>
          </w:p>
        </w:tc>
      </w:tr>
      <w:tr w14:paraId="719A6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90" w:type="dxa"/>
            <w:vAlign w:val="center"/>
          </w:tcPr>
          <w:p w14:paraId="3420DF28">
            <w:pPr>
              <w:pStyle w:val="13"/>
              <w:jc w:val="center"/>
              <w:rPr>
                <w:rFonts w:hint="eastAsia" w:eastAsiaTheme="minorEastAsia"/>
                <w:lang w:eastAsia="zh-CN"/>
              </w:rPr>
            </w:pPr>
            <w:r>
              <w:rPr>
                <w:rFonts w:hint="eastAsia"/>
                <w:lang w:val="en-US" w:eastAsia="zh-CN"/>
              </w:rPr>
              <w:t>1</w:t>
            </w:r>
          </w:p>
        </w:tc>
        <w:tc>
          <w:tcPr>
            <w:tcW w:w="3339" w:type="dxa"/>
            <w:vAlign w:val="center"/>
          </w:tcPr>
          <w:p w14:paraId="1CB88B5E">
            <w:pPr>
              <w:pStyle w:val="13"/>
              <w:jc w:val="center"/>
              <w:rPr>
                <w:rFonts w:hint="default"/>
                <w:lang w:val="en-US"/>
              </w:rPr>
            </w:pPr>
            <w:r>
              <w:rPr>
                <w:rFonts w:hint="eastAsia"/>
                <w:lang w:eastAsia="zh-CN"/>
              </w:rPr>
              <w:t>广东省生殖科学研究所（广东省生殖医院）</w:t>
            </w:r>
            <w:r>
              <w:rPr>
                <w:rFonts w:hint="eastAsia"/>
                <w:lang w:val="en-US" w:eastAsia="zh-CN"/>
              </w:rPr>
              <w:t>2025年</w:t>
            </w:r>
            <w:r>
              <w:rPr>
                <w:rFonts w:hint="eastAsia"/>
                <w:lang w:eastAsia="zh-CN"/>
              </w:rPr>
              <w:t>医疗责任保险</w:t>
            </w:r>
            <w:r>
              <w:rPr>
                <w:rFonts w:hint="eastAsia"/>
                <w:lang w:val="en-US" w:eastAsia="zh-CN"/>
              </w:rPr>
              <w:t>服务采购项目</w:t>
            </w:r>
          </w:p>
        </w:tc>
        <w:tc>
          <w:tcPr>
            <w:tcW w:w="2700" w:type="dxa"/>
            <w:vAlign w:val="center"/>
          </w:tcPr>
          <w:p w14:paraId="01B97755">
            <w:pPr>
              <w:pStyle w:val="13"/>
              <w:jc w:val="center"/>
            </w:pPr>
            <w:r>
              <w:rPr>
                <w:rFonts w:hint="eastAsia" w:ascii="宋体" w:hAnsi="宋体"/>
                <w:snapToGrid/>
                <w:color w:val="auto"/>
                <w:spacing w:val="0"/>
                <w:kern w:val="2"/>
                <w:sz w:val="21"/>
                <w:highlight w:val="none"/>
                <w:lang w:val="en-US" w:eastAsia="zh-CN"/>
              </w:rPr>
              <w:t>一年，以双方签订合同约定的保险期间为准</w:t>
            </w:r>
          </w:p>
        </w:tc>
        <w:tc>
          <w:tcPr>
            <w:tcW w:w="1190" w:type="dxa"/>
            <w:vAlign w:val="center"/>
          </w:tcPr>
          <w:p w14:paraId="3EB1A8FE">
            <w:pPr>
              <w:pStyle w:val="13"/>
              <w:jc w:val="center"/>
              <w:rPr>
                <w:rFonts w:hint="eastAsia"/>
                <w:lang w:eastAsia="zh-CN"/>
              </w:rPr>
            </w:pPr>
          </w:p>
        </w:tc>
      </w:tr>
    </w:tbl>
    <w:p w14:paraId="3FF2A172">
      <w:pPr>
        <w:pStyle w:val="13"/>
      </w:pPr>
      <w:r>
        <w:t>本采购包不接受联合体投标</w:t>
      </w:r>
    </w:p>
    <w:p w14:paraId="145A9ACC">
      <w:pPr>
        <w:pStyle w:val="13"/>
      </w:pPr>
      <w:r>
        <w:t>合同分包：不允许合同分包</w:t>
      </w:r>
    </w:p>
    <w:p w14:paraId="0145FEF7">
      <w:pPr>
        <w:pStyle w:val="13"/>
      </w:pPr>
      <w:r>
        <w:t>合同履行期限：详见采购需求</w:t>
      </w:r>
    </w:p>
    <w:p w14:paraId="62DC4EFE">
      <w:pPr>
        <w:pStyle w:val="13"/>
        <w:outlineLvl w:val="2"/>
      </w:pPr>
      <w:r>
        <w:rPr>
          <w:rFonts w:hint="eastAsia"/>
          <w:b/>
          <w:sz w:val="28"/>
          <w:lang w:eastAsia="zh-CN"/>
        </w:rPr>
        <w:t>二、</w:t>
      </w:r>
      <w:r>
        <w:rPr>
          <w:b/>
          <w:sz w:val="28"/>
        </w:rPr>
        <w:t>投标人的资格要求</w:t>
      </w:r>
    </w:p>
    <w:p w14:paraId="2FA3896C">
      <w:pPr>
        <w:pStyle w:val="13"/>
        <w:outlineLvl w:val="3"/>
      </w:pPr>
      <w:r>
        <w:rPr>
          <w:b/>
          <w:sz w:val="24"/>
        </w:rPr>
        <w:t>1.投标人应具备《中华人民共和国政府采购法》第二十二条规定的条件，提供下列材料：</w:t>
      </w:r>
    </w:p>
    <w:p w14:paraId="28470DE8">
      <w:pPr>
        <w:pStyle w:val="13"/>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62EB583">
      <w:pPr>
        <w:pStyle w:val="13"/>
      </w:pPr>
      <w:r>
        <w:t>2）有依法缴纳税收和社会保障资金的良好记录：提供投标截止日前6个月内任意1个月依法缴纳税收和社会保障资金的相关材料。如依法免税或不需要缴纳社会保障资金的， 提供相应证明材料。</w:t>
      </w:r>
    </w:p>
    <w:p w14:paraId="6C4B9321">
      <w:pPr>
        <w:pStyle w:val="13"/>
      </w:pPr>
      <w:r>
        <w:t>3）具有良好的商业信誉和健全的财务会计制度：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p w14:paraId="016E9BAD">
      <w:pPr>
        <w:pStyle w:val="13"/>
      </w:pPr>
      <w:r>
        <w:t>4）履行合同所必需的设备和专业技术能力：按投标（响应）文件格式填报设备及专业技术能力情况。</w:t>
      </w:r>
    </w:p>
    <w:p w14:paraId="332A9FAF">
      <w:pPr>
        <w:pStyle w:val="13"/>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E1F0D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right="0" w:firstLine="0"/>
        <w:jc w:val="both"/>
        <w:textAlignment w:val="auto"/>
        <w:rPr>
          <w:rFonts w:hint="eastAsia" w:asciiTheme="minorHAnsi" w:hAnsiTheme="minorHAnsi" w:eastAsiaTheme="minorEastAsia" w:cstheme="minorBidi"/>
          <w:b/>
          <w:kern w:val="0"/>
          <w:sz w:val="24"/>
          <w:lang w:val="en-US" w:eastAsia="zh-Hans"/>
        </w:rPr>
      </w:pPr>
      <w:r>
        <w:rPr>
          <w:rFonts w:hint="eastAsia" w:asciiTheme="minorHAnsi" w:hAnsiTheme="minorHAnsi" w:eastAsiaTheme="minorEastAsia" w:cstheme="minorBidi"/>
          <w:b/>
          <w:kern w:val="0"/>
          <w:sz w:val="24"/>
          <w:lang w:val="en-US" w:eastAsia="zh-Hans"/>
        </w:rPr>
        <w:t>2.本项目的特定资格要求：</w:t>
      </w:r>
    </w:p>
    <w:p w14:paraId="5050583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Theme="minorHAnsi" w:hAnsiTheme="minorHAnsi" w:eastAsiaTheme="minorEastAsia" w:cstheme="minorBidi"/>
          <w:kern w:val="0"/>
          <w:lang w:val="en-US" w:eastAsia="zh-CN"/>
        </w:rPr>
      </w:pPr>
      <w:r>
        <w:rPr>
          <w:rFonts w:hint="eastAsia" w:asciiTheme="minorHAnsi" w:hAnsiTheme="minorHAnsi" w:eastAsiaTheme="minorEastAsia" w:cstheme="minorBidi"/>
          <w:kern w:val="0"/>
          <w:lang w:val="en-US" w:eastAsia="zh-CN"/>
        </w:rPr>
        <w:t>信用记录：供应商未被列入“信用中国”网站</w:t>
      </w:r>
      <w:r>
        <w:rPr>
          <w:rFonts w:hint="eastAsia" w:cstheme="minorBidi"/>
          <w:kern w:val="0"/>
          <w:lang w:val="en-US" w:eastAsia="zh-CN"/>
        </w:rPr>
        <w:t>（</w:t>
      </w:r>
      <w:r>
        <w:rPr>
          <w:rFonts w:hint="eastAsia" w:asciiTheme="minorHAnsi" w:hAnsiTheme="minorHAnsi" w:eastAsiaTheme="minorEastAsia" w:cstheme="minorBidi"/>
          <w:kern w:val="0"/>
          <w:lang w:val="en-US" w:eastAsia="zh-CN"/>
        </w:rPr>
        <w:t>www.creditchina.gov.cn</w:t>
      </w:r>
      <w:r>
        <w:rPr>
          <w:rFonts w:hint="eastAsia" w:cstheme="minorBidi"/>
          <w:kern w:val="0"/>
          <w:lang w:val="en-US" w:eastAsia="zh-CN"/>
        </w:rPr>
        <w:t>）</w:t>
      </w:r>
      <w:r>
        <w:rPr>
          <w:rFonts w:hint="eastAsia" w:asciiTheme="minorHAnsi" w:hAnsiTheme="minorHAnsi" w:eastAsiaTheme="minorEastAsia" w:cstheme="minorBidi"/>
          <w:kern w:val="0"/>
          <w:lang w:val="en-US" w:eastAsia="zh-CN"/>
        </w:rPr>
        <w:t>“记录失信被执行人或重大税收违法案件当事人名单或政府采购严重违法失信行为”记录名单；不处于中国政府采购网</w:t>
      </w:r>
      <w:r>
        <w:rPr>
          <w:rFonts w:hint="eastAsia" w:cstheme="minorBidi"/>
          <w:kern w:val="0"/>
          <w:lang w:val="en-US" w:eastAsia="zh-CN"/>
        </w:rPr>
        <w:t>（</w:t>
      </w:r>
      <w:r>
        <w:rPr>
          <w:rFonts w:hint="eastAsia" w:asciiTheme="minorHAnsi" w:hAnsiTheme="minorHAnsi" w:eastAsiaTheme="minorEastAsia" w:cstheme="minorBidi"/>
          <w:kern w:val="0"/>
          <w:lang w:val="en-US" w:eastAsia="zh-CN"/>
        </w:rPr>
        <w:t>www.ccgp.gov.cn</w:t>
      </w:r>
      <w:r>
        <w:rPr>
          <w:rFonts w:hint="eastAsia" w:cstheme="minorBidi"/>
          <w:kern w:val="0"/>
          <w:lang w:val="en-US" w:eastAsia="zh-CN"/>
        </w:rPr>
        <w:t>）</w:t>
      </w:r>
      <w:r>
        <w:rPr>
          <w:rFonts w:hint="eastAsia" w:asciiTheme="minorHAnsi" w:hAnsiTheme="minorHAnsi" w:eastAsiaTheme="minorEastAsia" w:cstheme="minorBidi"/>
          <w:kern w:val="0"/>
          <w:lang w:val="en-US" w:eastAsia="zh-CN"/>
        </w:rPr>
        <w:t>“政府采购严重违法失信行为信息记录”中的禁止参加政府采购活动期间。在“信用中国”网站（www.creditchina.gov.cn）及中国政府采购网（http://www.ccgp.gov.cn/）查询结果为准。</w:t>
      </w:r>
    </w:p>
    <w:p w14:paraId="2363ED2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Theme="minorHAnsi" w:hAnsiTheme="minorHAnsi" w:eastAsiaTheme="minorEastAsia" w:cstheme="minorBidi"/>
          <w:kern w:val="0"/>
          <w:lang w:val="en-US" w:eastAsia="zh-CN"/>
        </w:rPr>
      </w:pPr>
      <w:r>
        <w:rPr>
          <w:rFonts w:hint="eastAsia" w:asciiTheme="minorHAnsi" w:hAnsiTheme="minorHAnsi" w:eastAsiaTheme="minorEastAsia" w:cstheme="minorBidi"/>
          <w:kern w:val="0"/>
          <w:lang w:val="en-US" w:eastAsia="zh-CN"/>
        </w:rPr>
        <w:t>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453E73D3">
      <w:pPr>
        <w:keepNext w:val="0"/>
        <w:keepLines w:val="0"/>
        <w:pageBreakBefore w:val="0"/>
        <w:numPr>
          <w:ilvl w:val="0"/>
          <w:numId w:val="1"/>
        </w:numPr>
        <w:kinsoku/>
        <w:wordWrap/>
        <w:overflowPunct/>
        <w:topLinePunct w:val="0"/>
        <w:autoSpaceDE/>
        <w:autoSpaceDN/>
        <w:bidi w:val="0"/>
        <w:ind w:left="0" w:leftChars="0" w:firstLine="0" w:firstLineChars="0"/>
        <w:textAlignment w:val="auto"/>
        <w:rPr>
          <w:rFonts w:hint="eastAsia" w:asciiTheme="minorHAnsi" w:hAnsiTheme="minorHAnsi" w:eastAsiaTheme="minorEastAsia" w:cstheme="minorBidi"/>
          <w:kern w:val="0"/>
          <w:lang w:val="en-US" w:eastAsia="zh-Hans"/>
        </w:rPr>
      </w:pPr>
      <w:r>
        <w:rPr>
          <w:rFonts w:hint="eastAsia" w:asciiTheme="minorHAnsi" w:hAnsiTheme="minorHAnsi" w:eastAsiaTheme="minorEastAsia" w:cstheme="minorBidi"/>
          <w:kern w:val="0"/>
          <w:lang w:val="en-US" w:eastAsia="zh-CN"/>
        </w:rPr>
        <w:t>供应商必须为经国家保险监督管理机构批准在中华人民共和国境内设立和营业的，并依法被核定许可经营责任保险业务的保险公司或其分支机构须提供有效的《经营保险业务许可证》，复印件加盖公章；分支机构投标的，必须获得具有独立法人资格的总公司授权；同一保险公司只能授权一家分支机构参加本项目。</w:t>
      </w:r>
    </w:p>
    <w:p w14:paraId="06BEE97E">
      <w:pPr>
        <w:pStyle w:val="13"/>
        <w:outlineLvl w:val="2"/>
        <w:rPr>
          <w:rFonts w:hint="eastAsia" w:asciiTheme="minorHAnsi" w:hAnsiTheme="minorHAnsi" w:eastAsiaTheme="minorEastAsia" w:cstheme="minorBidi"/>
          <w:b/>
          <w:i w:val="0"/>
          <w:iCs w:val="0"/>
          <w:caps w:val="0"/>
          <w:spacing w:val="0"/>
          <w:sz w:val="28"/>
          <w:szCs w:val="20"/>
          <w:lang w:eastAsia="zh-CN"/>
        </w:rPr>
      </w:pPr>
      <w:r>
        <w:rPr>
          <w:rFonts w:hint="eastAsia" w:asciiTheme="minorHAnsi" w:hAnsiTheme="minorHAnsi" w:eastAsiaTheme="minorEastAsia" w:cstheme="minorBidi"/>
          <w:b/>
          <w:i w:val="0"/>
          <w:iCs w:val="0"/>
          <w:caps w:val="0"/>
          <w:spacing w:val="0"/>
          <w:kern w:val="0"/>
          <w:sz w:val="28"/>
          <w:szCs w:val="20"/>
          <w:shd w:val="clear"/>
          <w:lang w:val="en-US" w:eastAsia="zh-CN" w:bidi="ar"/>
        </w:rPr>
        <w:t>三、报名时间及方式</w:t>
      </w:r>
    </w:p>
    <w:p w14:paraId="52BC4B03">
      <w:pPr>
        <w:pStyle w:val="13"/>
        <w:ind w:firstLine="480"/>
        <w:rPr>
          <w:rFonts w:hint="eastAsia" w:asciiTheme="minorHAnsi" w:hAnsiTheme="minorHAnsi" w:eastAsiaTheme="minorEastAsia" w:cstheme="minorBidi"/>
          <w:i w:val="0"/>
          <w:iCs w:val="0"/>
          <w:caps w:val="0"/>
          <w:spacing w:val="0"/>
          <w:sz w:val="20"/>
          <w:szCs w:val="20"/>
        </w:rPr>
      </w:pPr>
      <w:r>
        <w:rPr>
          <w:rFonts w:hint="eastAsia" w:asciiTheme="minorHAnsi" w:hAnsiTheme="minorHAnsi" w:eastAsiaTheme="minorEastAsia" w:cstheme="minorBidi"/>
          <w:i w:val="0"/>
          <w:iCs w:val="0"/>
          <w:caps w:val="0"/>
          <w:spacing w:val="0"/>
          <w:kern w:val="0"/>
          <w:sz w:val="20"/>
          <w:szCs w:val="20"/>
          <w:shd w:val="clear"/>
          <w:lang w:val="en-US" w:eastAsia="zh-CN" w:bidi="ar"/>
        </w:rPr>
        <w:t>报名供应商需在2025年8月</w:t>
      </w:r>
      <w:r>
        <w:rPr>
          <w:rFonts w:hint="eastAsia" w:cstheme="minorBidi"/>
          <w:i w:val="0"/>
          <w:iCs w:val="0"/>
          <w:caps w:val="0"/>
          <w:spacing w:val="0"/>
          <w:kern w:val="0"/>
          <w:sz w:val="20"/>
          <w:szCs w:val="20"/>
          <w:shd w:val="clear"/>
          <w:lang w:val="en-US" w:eastAsia="zh-CN" w:bidi="ar"/>
        </w:rPr>
        <w:t>17</w:t>
      </w:r>
      <w:r>
        <w:rPr>
          <w:rFonts w:hint="eastAsia" w:asciiTheme="minorHAnsi" w:hAnsiTheme="minorHAnsi" w:eastAsiaTheme="minorEastAsia" w:cstheme="minorBidi"/>
          <w:i w:val="0"/>
          <w:iCs w:val="0"/>
          <w:caps w:val="0"/>
          <w:spacing w:val="0"/>
          <w:kern w:val="0"/>
          <w:sz w:val="20"/>
          <w:szCs w:val="20"/>
          <w:shd w:val="clear"/>
          <w:lang w:val="en-US" w:eastAsia="zh-CN" w:bidi="ar"/>
        </w:rPr>
        <w:t>日前完成报名。报名方式：将以上资格证明材料（单面打印并加盖公章）扫描成PDF文件发送至广东省生殖医院办公室邮箱bgs@gdszjk.org.cn，邮件主题统一为“医疗责任保险服务项目+公司名+联系人+联系电话”。</w:t>
      </w:r>
    </w:p>
    <w:p w14:paraId="6CD92645">
      <w:pPr>
        <w:pStyle w:val="13"/>
        <w:outlineLvl w:val="2"/>
      </w:pPr>
      <w:r>
        <w:rPr>
          <w:rFonts w:hint="eastAsia"/>
          <w:b/>
          <w:sz w:val="28"/>
          <w:lang w:val="en-US" w:eastAsia="zh-CN"/>
        </w:rPr>
        <w:t>四</w:t>
      </w:r>
      <w:r>
        <w:rPr>
          <w:rFonts w:hint="eastAsia"/>
          <w:b/>
          <w:sz w:val="28"/>
          <w:lang w:eastAsia="zh-CN"/>
        </w:rPr>
        <w:t>、</w:t>
      </w:r>
      <w:r>
        <w:rPr>
          <w:b/>
          <w:sz w:val="28"/>
        </w:rPr>
        <w:t>获取招标文件</w:t>
      </w:r>
    </w:p>
    <w:p w14:paraId="0B3BA5A7">
      <w:pPr>
        <w:pStyle w:val="13"/>
        <w:ind w:firstLine="480"/>
        <w:rPr>
          <w:rFonts w:hint="default" w:eastAsiaTheme="minorEastAsia"/>
          <w:highlight w:val="none"/>
          <w:lang w:val="en-US" w:eastAsia="zh-CN"/>
        </w:rPr>
      </w:pPr>
      <w:r>
        <w:rPr>
          <w:highlight w:val="none"/>
        </w:rPr>
        <w:t>时间：</w:t>
      </w:r>
      <w:r>
        <w:rPr>
          <w:rFonts w:hint="eastAsia"/>
          <w:highlight w:val="none"/>
          <w:lang w:val="en-US" w:eastAsia="zh-CN"/>
        </w:rPr>
        <w:t>2025年8月13日—8月19日</w:t>
      </w:r>
    </w:p>
    <w:p w14:paraId="3BA9A35A">
      <w:pPr>
        <w:pStyle w:val="13"/>
        <w:ind w:firstLine="480"/>
      </w:pPr>
      <w:r>
        <w:t>获取方式：在线获取。</w:t>
      </w:r>
    </w:p>
    <w:p w14:paraId="18342C3B">
      <w:pPr>
        <w:pStyle w:val="13"/>
        <w:ind w:firstLine="480"/>
        <w:outlineLvl w:val="9"/>
        <w:rPr>
          <w:rFonts w:hint="eastAsia"/>
          <w:b/>
          <w:sz w:val="28"/>
          <w:lang w:eastAsia="zh-CN"/>
        </w:rPr>
      </w:pPr>
      <w:r>
        <w:t>售价：免费</w:t>
      </w:r>
    </w:p>
    <w:p w14:paraId="200E5B6B">
      <w:pPr>
        <w:pStyle w:val="13"/>
        <w:outlineLvl w:val="2"/>
      </w:pPr>
      <w:r>
        <w:rPr>
          <w:rFonts w:hint="eastAsia"/>
          <w:b/>
          <w:sz w:val="28"/>
          <w:lang w:val="en-US" w:eastAsia="zh-CN"/>
        </w:rPr>
        <w:t>五</w:t>
      </w:r>
      <w:r>
        <w:rPr>
          <w:rFonts w:hint="eastAsia"/>
          <w:b/>
          <w:sz w:val="28"/>
          <w:lang w:eastAsia="zh-CN"/>
        </w:rPr>
        <w:t>、</w:t>
      </w:r>
      <w:r>
        <w:rPr>
          <w:b/>
          <w:sz w:val="28"/>
        </w:rPr>
        <w:t>提交</w:t>
      </w:r>
      <w:r>
        <w:rPr>
          <w:rFonts w:hint="eastAsia"/>
          <w:b/>
          <w:sz w:val="28"/>
          <w:lang w:val="en-US" w:eastAsia="zh-CN"/>
        </w:rPr>
        <w:t>磋商</w:t>
      </w:r>
      <w:r>
        <w:rPr>
          <w:b/>
          <w:sz w:val="28"/>
        </w:rPr>
        <w:t>文件截止时间、开标时间和地点：</w:t>
      </w:r>
    </w:p>
    <w:p w14:paraId="619CC4ED">
      <w:pPr>
        <w:pStyle w:val="13"/>
        <w:ind w:firstLine="480"/>
        <w:rPr>
          <w:rFonts w:hint="default" w:eastAsiaTheme="minorEastAsia"/>
          <w:highlight w:val="none"/>
          <w:lang w:val="en-US" w:eastAsia="zh-CN"/>
        </w:rPr>
      </w:pPr>
      <w:r>
        <w:rPr>
          <w:highlight w:val="none"/>
        </w:rPr>
        <w:t>提交</w:t>
      </w:r>
      <w:r>
        <w:rPr>
          <w:rFonts w:hint="eastAsia"/>
          <w:highlight w:val="none"/>
          <w:lang w:eastAsia="zh-CN"/>
        </w:rPr>
        <w:t>磋商</w:t>
      </w:r>
      <w:r>
        <w:rPr>
          <w:highlight w:val="none"/>
        </w:rPr>
        <w:t>文件时间：</w:t>
      </w:r>
      <w:r>
        <w:rPr>
          <w:rFonts w:hint="eastAsia"/>
          <w:highlight w:val="none"/>
          <w:lang w:val="en-US" w:eastAsia="zh-CN"/>
        </w:rPr>
        <w:t>2025年8月19日14:30—15:00</w:t>
      </w:r>
    </w:p>
    <w:p w14:paraId="2D1F55F2">
      <w:pPr>
        <w:pStyle w:val="13"/>
        <w:ind w:firstLine="480"/>
        <w:rPr>
          <w:highlight w:val="none"/>
        </w:rPr>
      </w:pPr>
      <w:r>
        <w:rPr>
          <w:highlight w:val="none"/>
        </w:rPr>
        <w:t>开标时间：</w:t>
      </w:r>
      <w:r>
        <w:rPr>
          <w:rFonts w:hint="eastAsia"/>
          <w:highlight w:val="none"/>
          <w:lang w:val="en-US" w:eastAsia="zh-CN"/>
        </w:rPr>
        <w:t>2025年8月19日15:00</w:t>
      </w:r>
    </w:p>
    <w:p w14:paraId="6AA4AAA7">
      <w:pPr>
        <w:pStyle w:val="13"/>
        <w:ind w:firstLine="480"/>
        <w:rPr>
          <w:rFonts w:hint="default" w:eastAsiaTheme="minorEastAsia"/>
          <w:lang w:val="en-US" w:eastAsia="zh-CN"/>
        </w:rPr>
      </w:pPr>
      <w:r>
        <w:t>地点：</w:t>
      </w:r>
      <w:r>
        <w:rPr>
          <w:rFonts w:hint="eastAsia"/>
          <w:lang w:val="en-US" w:eastAsia="zh-CN"/>
        </w:rPr>
        <w:t>广州市越秀区梅东路17号广东省生殖科学研究所（广东省生殖医院）2号楼7楼会议室</w:t>
      </w:r>
    </w:p>
    <w:p w14:paraId="2A2CD2DC">
      <w:pPr>
        <w:pStyle w:val="13"/>
        <w:outlineLvl w:val="2"/>
      </w:pPr>
      <w:r>
        <w:rPr>
          <w:rFonts w:hint="eastAsia"/>
          <w:b/>
          <w:sz w:val="28"/>
          <w:lang w:val="en-US" w:eastAsia="zh-CN"/>
        </w:rPr>
        <w:t>六</w:t>
      </w:r>
      <w:r>
        <w:rPr>
          <w:rFonts w:hint="eastAsia"/>
          <w:b/>
          <w:sz w:val="28"/>
          <w:lang w:eastAsia="zh-CN"/>
        </w:rPr>
        <w:t>、</w:t>
      </w:r>
      <w:r>
        <w:rPr>
          <w:b/>
          <w:sz w:val="28"/>
        </w:rPr>
        <w:t>公告期限、发布公告的媒介：</w:t>
      </w:r>
    </w:p>
    <w:p w14:paraId="321CBC1E">
      <w:pPr>
        <w:pStyle w:val="13"/>
        <w:ind w:firstLine="480"/>
      </w:pPr>
      <w:r>
        <w:t xml:space="preserve"> </w:t>
      </w:r>
      <w:r>
        <w:rPr>
          <w:rFonts w:hint="eastAsia"/>
          <w:lang w:eastAsia="zh-CN"/>
        </w:rPr>
        <w:t>1.</w:t>
      </w:r>
      <w:r>
        <w:t>公告期限：自本公告发布之日起不得少于5个工作日。</w:t>
      </w:r>
    </w:p>
    <w:p w14:paraId="2515142D">
      <w:pPr>
        <w:pStyle w:val="13"/>
        <w:ind w:firstLine="480"/>
        <w:rPr>
          <w:rFonts w:hint="default" w:eastAsiaTheme="minorEastAsia"/>
          <w:lang w:val="en-US" w:eastAsia="zh-CN"/>
        </w:rPr>
      </w:pPr>
      <w:r>
        <w:t xml:space="preserve"> </w:t>
      </w:r>
      <w:r>
        <w:rPr>
          <w:rFonts w:hint="eastAsia"/>
          <w:lang w:eastAsia="zh-CN"/>
        </w:rPr>
        <w:t>2.</w:t>
      </w:r>
      <w:r>
        <w:t>发布公告的媒介：</w:t>
      </w:r>
      <w:r>
        <w:rPr>
          <w:rFonts w:hint="eastAsia"/>
          <w:lang w:val="en-US" w:eastAsia="zh-CN"/>
        </w:rPr>
        <w:t>广东省生殖科学研究所（广东省生殖医院）官网（https://www.gdszjk.org.cn/）</w:t>
      </w:r>
    </w:p>
    <w:p w14:paraId="4829196B">
      <w:pPr>
        <w:pStyle w:val="13"/>
        <w:outlineLvl w:val="2"/>
      </w:pPr>
      <w:r>
        <w:rPr>
          <w:rFonts w:hint="eastAsia"/>
          <w:b/>
          <w:sz w:val="28"/>
          <w:lang w:val="en-US" w:eastAsia="zh-CN"/>
        </w:rPr>
        <w:t>七</w:t>
      </w:r>
      <w:r>
        <w:rPr>
          <w:rFonts w:hint="eastAsia"/>
          <w:b/>
          <w:sz w:val="28"/>
          <w:lang w:eastAsia="zh-CN"/>
        </w:rPr>
        <w:t>、</w:t>
      </w:r>
      <w:r>
        <w:rPr>
          <w:b/>
          <w:sz w:val="28"/>
        </w:rPr>
        <w:t>本项目联系方式：</w:t>
      </w:r>
    </w:p>
    <w:p w14:paraId="2DC9D46C">
      <w:pPr>
        <w:pStyle w:val="13"/>
        <w:ind w:firstLine="480"/>
        <w:rPr>
          <w:rFonts w:hint="eastAsia"/>
        </w:rPr>
      </w:pPr>
      <w:r>
        <w:rPr>
          <w:rFonts w:hint="eastAsia"/>
        </w:rPr>
        <w:t>联系人：张老师、李老师</w:t>
      </w:r>
    </w:p>
    <w:p w14:paraId="423725F9">
      <w:pPr>
        <w:pStyle w:val="13"/>
        <w:ind w:firstLine="480"/>
      </w:pPr>
      <w:r>
        <w:rPr>
          <w:rFonts w:hint="eastAsia"/>
        </w:rPr>
        <w:t>联系电话：020-87693502</w:t>
      </w:r>
      <w:r>
        <w:t xml:space="preserve">  </w:t>
      </w:r>
    </w:p>
    <w:p w14:paraId="06163589">
      <w:pPr>
        <w:pStyle w:val="13"/>
        <w:ind w:firstLine="480"/>
      </w:pPr>
    </w:p>
    <w:p w14:paraId="0337B044">
      <w:pPr>
        <w:keepNext w:val="0"/>
        <w:keepLines w:val="0"/>
        <w:widowControl/>
        <w:suppressLineNumbers w:val="0"/>
        <w:spacing w:before="75" w:beforeAutospacing="0" w:after="75" w:afterAutospacing="0"/>
        <w:ind w:left="0" w:right="0" w:firstLine="480"/>
        <w:jc w:val="right"/>
        <w:rPr>
          <w:rFonts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广东省生殖科学研究所（广东省生殖医院）</w:t>
      </w:r>
    </w:p>
    <w:p w14:paraId="085EC256">
      <w:pPr>
        <w:keepNext w:val="0"/>
        <w:keepLines w:val="0"/>
        <w:widowControl/>
        <w:suppressLineNumbers w:val="0"/>
        <w:spacing w:before="75" w:beforeAutospacing="0" w:after="75" w:afterAutospacing="0"/>
        <w:ind w:left="0" w:right="0" w:firstLine="480"/>
        <w:jc w:val="righ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2025年</w:t>
      </w:r>
      <w:r>
        <w:rPr>
          <w:rFonts w:hint="default" w:ascii="Tahoma" w:hAnsi="Tahoma" w:eastAsia="Tahoma" w:cs="Tahoma"/>
          <w:i w:val="0"/>
          <w:iCs w:val="0"/>
          <w:caps w:val="0"/>
          <w:color w:val="000000"/>
          <w:spacing w:val="0"/>
          <w:kern w:val="0"/>
          <w:sz w:val="18"/>
          <w:szCs w:val="18"/>
          <w:highlight w:val="none"/>
          <w:lang w:val="en-US" w:eastAsia="zh-CN" w:bidi="ar"/>
        </w:rPr>
        <w:t>8月</w:t>
      </w:r>
      <w:r>
        <w:rPr>
          <w:rFonts w:hint="eastAsia" w:ascii="Tahoma" w:hAnsi="Tahoma" w:eastAsia="Tahoma" w:cs="Tahoma"/>
          <w:i w:val="0"/>
          <w:iCs w:val="0"/>
          <w:caps w:val="0"/>
          <w:color w:val="000000"/>
          <w:spacing w:val="0"/>
          <w:kern w:val="0"/>
          <w:sz w:val="18"/>
          <w:szCs w:val="18"/>
          <w:highlight w:val="none"/>
          <w:lang w:val="en-US" w:eastAsia="zh-CN" w:bidi="ar"/>
        </w:rPr>
        <w:t>13</w:t>
      </w:r>
      <w:r>
        <w:rPr>
          <w:rFonts w:hint="default" w:ascii="Tahoma" w:hAnsi="Tahoma" w:eastAsia="Tahoma" w:cs="Tahoma"/>
          <w:i w:val="0"/>
          <w:iCs w:val="0"/>
          <w:caps w:val="0"/>
          <w:color w:val="000000"/>
          <w:spacing w:val="0"/>
          <w:kern w:val="0"/>
          <w:sz w:val="18"/>
          <w:szCs w:val="18"/>
          <w:highlight w:val="none"/>
          <w:lang w:val="en-US" w:eastAsia="zh-CN" w:bidi="ar"/>
        </w:rPr>
        <w:t>日</w:t>
      </w:r>
    </w:p>
    <w:p w14:paraId="2D446D23">
      <w:pPr>
        <w:pStyle w:val="13"/>
        <w:ind w:firstLine="480"/>
      </w:pPr>
    </w:p>
    <w:p w14:paraId="28E9873A">
      <w:pPr>
        <w:rPr>
          <w:b/>
          <w:sz w:val="36"/>
        </w:rPr>
      </w:pPr>
      <w:r>
        <w:rPr>
          <w:b/>
          <w:sz w:val="36"/>
        </w:rPr>
        <w:br w:type="page"/>
      </w:r>
    </w:p>
    <w:p w14:paraId="1F95F0DF">
      <w:pPr>
        <w:pStyle w:val="13"/>
        <w:jc w:val="center"/>
        <w:outlineLvl w:val="1"/>
      </w:pPr>
      <w:r>
        <w:rPr>
          <w:b/>
          <w:sz w:val="36"/>
        </w:rPr>
        <w:t>第二章 采购需求</w:t>
      </w:r>
    </w:p>
    <w:p w14:paraId="0F0FD40E">
      <w:pPr>
        <w:pStyle w:val="13"/>
        <w:outlineLvl w:val="2"/>
      </w:pPr>
      <w:r>
        <w:rPr>
          <w:b/>
          <w:sz w:val="28"/>
        </w:rPr>
        <w:t>一、项目概况：</w:t>
      </w:r>
    </w:p>
    <w:p w14:paraId="40887D9F">
      <w:pPr>
        <w:pStyle w:val="13"/>
        <w:ind w:firstLine="420" w:firstLineChars="200"/>
      </w:pPr>
      <w:r>
        <w:rPr>
          <w:sz w:val="21"/>
        </w:rPr>
        <w:t>1.供应商对本项目为单位的货物及服务进行整体报价，任何只对本项目其中一部分内容进行的报价都被视为无效报价。</w:t>
      </w:r>
    </w:p>
    <w:p w14:paraId="60492EAB">
      <w:pPr>
        <w:pStyle w:val="13"/>
        <w:ind w:firstLine="420"/>
        <w:jc w:val="both"/>
      </w:pPr>
      <w:r>
        <w:rPr>
          <w:sz w:val="21"/>
        </w:rPr>
        <w:t>2.需求书如有标注“★”号条款为实质性条款，供应商若有任何一条不响应或负偏离则导致报价无效。</w:t>
      </w:r>
    </w:p>
    <w:p w14:paraId="77062617">
      <w:pPr>
        <w:pStyle w:val="13"/>
        <w:ind w:firstLine="420"/>
        <w:jc w:val="both"/>
      </w:pPr>
      <w:r>
        <w:rPr>
          <w:sz w:val="21"/>
        </w:rPr>
        <w:t>3.需求书中如有标注“▲”号条款为重要指标，供应商若有部分“▲”条款未响应或不满足，将导致失分，但不作为无效报价条款。</w:t>
      </w:r>
    </w:p>
    <w:p w14:paraId="24FAC9F4">
      <w:pPr>
        <w:pStyle w:val="13"/>
        <w:ind w:firstLine="420"/>
        <w:jc w:val="both"/>
      </w:pPr>
      <w:r>
        <w:rPr>
          <w:sz w:val="21"/>
        </w:rPr>
        <w:t>★投标人必须承诺</w:t>
      </w:r>
      <w:r>
        <w:rPr>
          <w:rFonts w:hint="eastAsia"/>
          <w:sz w:val="21"/>
          <w:lang w:eastAsia="zh-CN"/>
        </w:rPr>
        <w:t>磋商</w:t>
      </w:r>
      <w:r>
        <w:rPr>
          <w:sz w:val="21"/>
        </w:rPr>
        <w:t>文件中所响应提供的资料属于真实有效的，有异议时，中标人必须在采购人提出后5个工作日内提供相关资料原件复核。如不能在规定时间内提供原件复核的，将上报有关监管部门（</w:t>
      </w:r>
      <w:r>
        <w:rPr>
          <w:rFonts w:hint="eastAsia"/>
          <w:sz w:val="21"/>
          <w:lang w:eastAsia="zh-CN"/>
        </w:rPr>
        <w:t>磋商</w:t>
      </w:r>
      <w:r>
        <w:rPr>
          <w:sz w:val="21"/>
        </w:rPr>
        <w:t>时提交承诺，承诺可参照“</w:t>
      </w:r>
      <w:r>
        <w:rPr>
          <w:rFonts w:hint="eastAsia"/>
          <w:sz w:val="21"/>
          <w:lang w:eastAsia="zh-CN"/>
        </w:rPr>
        <w:t>磋商</w:t>
      </w:r>
      <w:r>
        <w:rPr>
          <w:sz w:val="21"/>
        </w:rPr>
        <w:t>文件格式”中《承诺函》格式）。</w:t>
      </w:r>
    </w:p>
    <w:p w14:paraId="12CFBB33">
      <w:pPr>
        <w:pStyle w:val="13"/>
        <w:ind w:firstLine="420"/>
        <w:jc w:val="both"/>
      </w:pPr>
      <w:r>
        <w:rPr>
          <w:sz w:val="21"/>
        </w:rPr>
        <w:t>★本项目不允许分包，如供应商在</w:t>
      </w:r>
      <w:r>
        <w:rPr>
          <w:rFonts w:hint="eastAsia"/>
          <w:sz w:val="21"/>
          <w:lang w:eastAsia="zh-CN"/>
        </w:rPr>
        <w:t>磋商</w:t>
      </w:r>
      <w:r>
        <w:rPr>
          <w:sz w:val="21"/>
        </w:rPr>
        <w:t>/响应文件中未出现《分包意向协议书》，则视为未采取分包。</w:t>
      </w:r>
    </w:p>
    <w:p w14:paraId="2D4AE7D3">
      <w:pPr>
        <w:pStyle w:val="13"/>
        <w:ind w:firstLine="420"/>
        <w:jc w:val="both"/>
      </w:pPr>
      <w:r>
        <w:rPr>
          <w:sz w:val="21"/>
        </w:rPr>
        <w:t>★供应商须保证，如中标（成交），</w:t>
      </w:r>
      <w:r>
        <w:rPr>
          <w:rFonts w:hint="eastAsia"/>
          <w:sz w:val="21"/>
          <w:lang w:eastAsia="zh-CN"/>
        </w:rPr>
        <w:t>磋商</w:t>
      </w:r>
      <w:r>
        <w:rPr>
          <w:sz w:val="21"/>
        </w:rPr>
        <w:t>（响应）文件所提供的材料，如果有效期（包括需要年审、继续教育等完成后才能执业的行政许可、人员证书等情形）未能覆盖项目（包组）合同履行期的，将提前按规定办理延期手续，确保合同顺利履行（</w:t>
      </w:r>
      <w:r>
        <w:rPr>
          <w:rFonts w:hint="eastAsia"/>
          <w:sz w:val="21"/>
          <w:lang w:eastAsia="zh-CN"/>
        </w:rPr>
        <w:t>磋商</w:t>
      </w:r>
      <w:r>
        <w:rPr>
          <w:sz w:val="21"/>
        </w:rPr>
        <w:t>时提交承诺，承诺可参照“</w:t>
      </w:r>
      <w:r>
        <w:rPr>
          <w:rFonts w:hint="eastAsia"/>
          <w:sz w:val="21"/>
          <w:lang w:eastAsia="zh-CN"/>
        </w:rPr>
        <w:t>磋商</w:t>
      </w:r>
      <w:r>
        <w:rPr>
          <w:sz w:val="21"/>
        </w:rPr>
        <w:t>文件格式”中《承诺函》格式）。</w:t>
      </w:r>
    </w:p>
    <w:p w14:paraId="65C33FE9">
      <w:pPr>
        <w:pStyle w:val="13"/>
        <w:outlineLvl w:val="2"/>
        <w:rPr>
          <w:b/>
          <w:sz w:val="28"/>
        </w:rPr>
      </w:pPr>
      <w:r>
        <w:rPr>
          <w:b/>
          <w:sz w:val="28"/>
        </w:rPr>
        <w:t>二、采购内容及预算</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4"/>
        <w:gridCol w:w="506"/>
        <w:gridCol w:w="1797"/>
        <w:gridCol w:w="3266"/>
      </w:tblGrid>
      <w:tr w14:paraId="4A0CA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c>
          <w:tcPr>
            <w:tcW w:w="2734" w:type="dxa"/>
            <w:tcBorders>
              <w:top w:val="single" w:color="000000" w:sz="4" w:space="0"/>
              <w:left w:val="single" w:color="000000" w:sz="4" w:space="0"/>
              <w:bottom w:val="double" w:color="000000" w:sz="48" w:space="0"/>
              <w:right w:val="single" w:color="000000" w:sz="4" w:space="0"/>
            </w:tcBorders>
            <w:shd w:val="clear" w:color="auto" w:fill="auto"/>
            <w:tcMar>
              <w:top w:w="0" w:type="dxa"/>
              <w:left w:w="105" w:type="dxa"/>
              <w:bottom w:w="0" w:type="dxa"/>
              <w:right w:w="105" w:type="dxa"/>
            </w:tcMar>
            <w:vAlign w:val="center"/>
          </w:tcPr>
          <w:p w14:paraId="0AC876F1">
            <w:pPr>
              <w:pStyle w:val="13"/>
              <w:jc w:val="center"/>
              <w:rPr>
                <w:highlight w:val="none"/>
              </w:rPr>
            </w:pPr>
            <w:r>
              <w:rPr>
                <w:b/>
                <w:sz w:val="21"/>
                <w:highlight w:val="none"/>
              </w:rPr>
              <w:t>采购内容</w:t>
            </w:r>
          </w:p>
        </w:tc>
        <w:tc>
          <w:tcPr>
            <w:tcW w:w="506"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591079D9">
            <w:pPr>
              <w:pStyle w:val="13"/>
              <w:jc w:val="center"/>
              <w:rPr>
                <w:highlight w:val="none"/>
              </w:rPr>
            </w:pPr>
            <w:r>
              <w:rPr>
                <w:b/>
                <w:sz w:val="21"/>
                <w:highlight w:val="none"/>
              </w:rPr>
              <w:t>数量</w:t>
            </w:r>
          </w:p>
        </w:tc>
        <w:tc>
          <w:tcPr>
            <w:tcW w:w="1797"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2B15D1D2">
            <w:pPr>
              <w:pStyle w:val="13"/>
              <w:jc w:val="center"/>
              <w:rPr>
                <w:highlight w:val="none"/>
              </w:rPr>
            </w:pPr>
            <w:r>
              <w:rPr>
                <w:b/>
                <w:sz w:val="21"/>
                <w:highlight w:val="none"/>
              </w:rPr>
              <w:t>采购预算</w:t>
            </w:r>
          </w:p>
        </w:tc>
        <w:tc>
          <w:tcPr>
            <w:tcW w:w="3266"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7502DA16">
            <w:pPr>
              <w:pStyle w:val="13"/>
              <w:jc w:val="center"/>
              <w:rPr>
                <w:highlight w:val="none"/>
              </w:rPr>
            </w:pPr>
            <w:r>
              <w:rPr>
                <w:b/>
                <w:sz w:val="21"/>
                <w:highlight w:val="none"/>
              </w:rPr>
              <w:t>履行期限</w:t>
            </w:r>
          </w:p>
        </w:tc>
      </w:tr>
      <w:tr w14:paraId="1D0F1A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34"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EA7FB57">
            <w:pPr>
              <w:pStyle w:val="13"/>
              <w:jc w:val="center"/>
              <w:rPr>
                <w:highlight w:val="none"/>
              </w:rPr>
            </w:pPr>
            <w:r>
              <w:rPr>
                <w:rFonts w:hint="eastAsia" w:ascii="宋体" w:hAnsi="宋体"/>
                <w:bCs/>
                <w:color w:val="auto"/>
                <w:highlight w:val="none"/>
                <w:lang w:val="en-US" w:eastAsia="zh-CN"/>
              </w:rPr>
              <w:t>2025年</w:t>
            </w:r>
            <w:r>
              <w:rPr>
                <w:rFonts w:hint="eastAsia" w:ascii="宋体" w:hAnsi="宋体"/>
                <w:bCs/>
                <w:color w:val="auto"/>
                <w:highlight w:val="none"/>
              </w:rPr>
              <w:t>医疗责任保险服务</w:t>
            </w:r>
          </w:p>
        </w:tc>
        <w:tc>
          <w:tcPr>
            <w:tcW w:w="506"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77A2A576">
            <w:pPr>
              <w:pStyle w:val="13"/>
              <w:jc w:val="center"/>
              <w:rPr>
                <w:highlight w:val="none"/>
              </w:rPr>
            </w:pPr>
            <w:r>
              <w:rPr>
                <w:sz w:val="21"/>
                <w:highlight w:val="none"/>
              </w:rPr>
              <w:t>1项</w:t>
            </w:r>
          </w:p>
        </w:tc>
        <w:tc>
          <w:tcPr>
            <w:tcW w:w="1797"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1AFFB692">
            <w:pPr>
              <w:pStyle w:val="13"/>
              <w:jc w:val="center"/>
              <w:rPr>
                <w:highlight w:val="none"/>
              </w:rPr>
            </w:pPr>
            <w:r>
              <w:rPr>
                <w:sz w:val="21"/>
                <w:highlight w:val="none"/>
              </w:rPr>
              <w:t>人民币</w:t>
            </w:r>
          </w:p>
          <w:p w14:paraId="0C40443B">
            <w:pPr>
              <w:pStyle w:val="13"/>
              <w:jc w:val="center"/>
              <w:rPr>
                <w:highlight w:val="none"/>
              </w:rPr>
            </w:pPr>
            <w:r>
              <w:rPr>
                <w:rFonts w:hint="eastAsia"/>
                <w:sz w:val="21"/>
                <w:highlight w:val="none"/>
                <w:u w:val="single"/>
                <w:lang w:val="en-US" w:eastAsia="zh-CN"/>
              </w:rPr>
              <w:t>10</w:t>
            </w:r>
            <w:r>
              <w:rPr>
                <w:sz w:val="21"/>
                <w:highlight w:val="none"/>
              </w:rPr>
              <w:t>万元</w:t>
            </w:r>
          </w:p>
        </w:tc>
        <w:tc>
          <w:tcPr>
            <w:tcW w:w="3266"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69445072">
            <w:pPr>
              <w:pStyle w:val="13"/>
              <w:jc w:val="center"/>
              <w:rPr>
                <w:highlight w:val="none"/>
              </w:rPr>
            </w:pPr>
            <w:r>
              <w:rPr>
                <w:sz w:val="21"/>
                <w:highlight w:val="none"/>
              </w:rPr>
              <w:t>自合同签订之日起一年</w:t>
            </w:r>
            <w:r>
              <w:rPr>
                <w:rFonts w:hint="eastAsia"/>
                <w:sz w:val="21"/>
                <w:highlight w:val="none"/>
                <w:lang w:eastAsia="zh-CN"/>
              </w:rPr>
              <w:t>，</w:t>
            </w:r>
            <w:r>
              <w:rPr>
                <w:rFonts w:asciiTheme="minorHAnsi" w:hAnsiTheme="minorHAnsi" w:eastAsiaTheme="minorEastAsia" w:cstheme="minorBidi"/>
                <w:i w:val="0"/>
                <w:iCs w:val="0"/>
                <w:caps w:val="0"/>
                <w:color w:val="auto"/>
                <w:spacing w:val="0"/>
                <w:sz w:val="21"/>
                <w:szCs w:val="20"/>
                <w:highlight w:val="none"/>
                <w:shd w:val="clear" w:fill="auto"/>
              </w:rPr>
              <w:t>以双方签订合同约定的保险期间为准</w:t>
            </w:r>
          </w:p>
        </w:tc>
      </w:tr>
    </w:tbl>
    <w:p w14:paraId="42D70738">
      <w:pPr>
        <w:pStyle w:val="13"/>
        <w:outlineLvl w:val="2"/>
        <w:rPr>
          <w:b/>
          <w:sz w:val="28"/>
        </w:rPr>
      </w:pPr>
      <w:r>
        <w:rPr>
          <w:b/>
          <w:sz w:val="28"/>
        </w:rPr>
        <w:t>三、采购内容明细</w:t>
      </w:r>
    </w:p>
    <w:p w14:paraId="57E2948C">
      <w:pPr>
        <w:pStyle w:val="13"/>
        <w:ind w:firstLine="420"/>
        <w:jc w:val="both"/>
        <w:rPr>
          <w:rFonts w:hint="eastAsia"/>
          <w:sz w:val="21"/>
          <w:lang w:val="en-US" w:eastAsia="zh-CN"/>
        </w:rPr>
      </w:pPr>
      <w:r>
        <w:rPr>
          <w:rFonts w:hint="eastAsia"/>
          <w:sz w:val="21"/>
          <w:lang w:val="en-US" w:eastAsia="zh-CN"/>
        </w:rPr>
        <w:t>1.项目需求</w:t>
      </w:r>
    </w:p>
    <w:p w14:paraId="3E68A737">
      <w:pPr>
        <w:pStyle w:val="13"/>
        <w:ind w:firstLine="420"/>
        <w:jc w:val="both"/>
        <w:rPr>
          <w:rFonts w:hint="default"/>
          <w:sz w:val="21"/>
          <w:lang w:val="en-US" w:eastAsia="zh-CN"/>
        </w:rPr>
      </w:pPr>
      <w:r>
        <w:rPr>
          <w:rFonts w:hint="eastAsia"/>
          <w:sz w:val="21"/>
          <w:lang w:val="en-US" w:eastAsia="zh-CN"/>
        </w:rPr>
        <w:t>1.1</w:t>
      </w:r>
      <w:r>
        <w:t>医疗责任险购买范围</w:t>
      </w:r>
    </w:p>
    <w:tbl>
      <w:tblPr>
        <w:tblStyle w:val="34"/>
        <w:tblW w:w="7324"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3285"/>
        <w:gridCol w:w="1534"/>
        <w:gridCol w:w="1576"/>
      </w:tblGrid>
      <w:tr w14:paraId="50C9E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29" w:type="dxa"/>
            <w:vAlign w:val="top"/>
          </w:tcPr>
          <w:p w14:paraId="0B2553B8">
            <w:pPr>
              <w:pStyle w:val="33"/>
              <w:spacing w:before="89" w:line="222" w:lineRule="auto"/>
              <w:ind w:left="284"/>
            </w:pPr>
            <w:r>
              <w:rPr>
                <w:spacing w:val="-8"/>
              </w:rPr>
              <w:t>险种</w:t>
            </w:r>
          </w:p>
        </w:tc>
        <w:tc>
          <w:tcPr>
            <w:tcW w:w="3285" w:type="dxa"/>
            <w:vAlign w:val="top"/>
          </w:tcPr>
          <w:p w14:paraId="31A727D6">
            <w:pPr>
              <w:pStyle w:val="33"/>
              <w:spacing w:before="89" w:line="222" w:lineRule="auto"/>
              <w:ind w:left="1454"/>
            </w:pPr>
            <w:r>
              <w:rPr>
                <w:spacing w:val="-4"/>
              </w:rPr>
              <w:t>项目</w:t>
            </w:r>
          </w:p>
        </w:tc>
        <w:tc>
          <w:tcPr>
            <w:tcW w:w="1534" w:type="dxa"/>
            <w:vAlign w:val="top"/>
          </w:tcPr>
          <w:p w14:paraId="24983696">
            <w:pPr>
              <w:pStyle w:val="33"/>
              <w:spacing w:before="89" w:line="221" w:lineRule="auto"/>
              <w:ind w:left="580"/>
            </w:pPr>
            <w:r>
              <w:rPr>
                <w:spacing w:val="-4"/>
              </w:rPr>
              <w:t>数量</w:t>
            </w:r>
          </w:p>
        </w:tc>
        <w:tc>
          <w:tcPr>
            <w:tcW w:w="1576" w:type="dxa"/>
            <w:vAlign w:val="top"/>
          </w:tcPr>
          <w:p w14:paraId="79C6A8B7">
            <w:pPr>
              <w:pStyle w:val="33"/>
              <w:spacing w:before="89" w:line="222" w:lineRule="auto"/>
              <w:ind w:left="600"/>
            </w:pPr>
            <w:r>
              <w:rPr>
                <w:spacing w:val="-4"/>
              </w:rPr>
              <w:t>单位</w:t>
            </w:r>
          </w:p>
        </w:tc>
      </w:tr>
      <w:tr w14:paraId="6B0C5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29" w:type="dxa"/>
            <w:vMerge w:val="restart"/>
            <w:vAlign w:val="top"/>
          </w:tcPr>
          <w:p w14:paraId="765ED299">
            <w:pPr>
              <w:pStyle w:val="33"/>
              <w:spacing w:before="85" w:line="222" w:lineRule="auto"/>
              <w:ind w:left="275"/>
            </w:pPr>
            <w:r>
              <w:rPr>
                <w:spacing w:val="-4"/>
              </w:rPr>
              <w:t>主险</w:t>
            </w:r>
          </w:p>
        </w:tc>
        <w:tc>
          <w:tcPr>
            <w:tcW w:w="3285" w:type="dxa"/>
            <w:vAlign w:val="top"/>
          </w:tcPr>
          <w:p w14:paraId="1E33A4E7">
            <w:pPr>
              <w:pStyle w:val="33"/>
              <w:spacing w:before="84" w:line="221" w:lineRule="auto"/>
              <w:ind w:left="1067"/>
            </w:pPr>
            <w:r>
              <w:t>拟投保床位数</w:t>
            </w:r>
          </w:p>
        </w:tc>
        <w:tc>
          <w:tcPr>
            <w:tcW w:w="1534" w:type="dxa"/>
            <w:vAlign w:val="top"/>
          </w:tcPr>
          <w:p w14:paraId="05DA9F35">
            <w:pPr>
              <w:spacing w:before="105" w:line="183" w:lineRule="auto"/>
              <w:ind w:left="590"/>
              <w:rPr>
                <w:rFonts w:hint="default" w:ascii="Segoe UI Symbol" w:hAnsi="Segoe UI Symbol" w:eastAsia="宋体" w:cs="Segoe UI Symbol"/>
                <w:sz w:val="19"/>
                <w:szCs w:val="19"/>
                <w:lang w:val="en-US" w:eastAsia="zh-CN"/>
              </w:rPr>
            </w:pPr>
            <w:r>
              <w:rPr>
                <w:rFonts w:hint="eastAsia" w:ascii="Segoe UI Symbol" w:hAnsi="Segoe UI Symbol" w:eastAsia="宋体" w:cs="Segoe UI Symbol"/>
                <w:spacing w:val="14"/>
                <w:sz w:val="19"/>
                <w:szCs w:val="19"/>
                <w:lang w:val="en-US" w:eastAsia="zh-CN"/>
              </w:rPr>
              <w:t>40</w:t>
            </w:r>
          </w:p>
        </w:tc>
        <w:tc>
          <w:tcPr>
            <w:tcW w:w="1576" w:type="dxa"/>
            <w:vAlign w:val="top"/>
          </w:tcPr>
          <w:p w14:paraId="27723E10">
            <w:pPr>
              <w:pStyle w:val="33"/>
              <w:spacing w:before="85" w:line="223" w:lineRule="auto"/>
              <w:ind w:left="699"/>
            </w:pPr>
            <w:r>
              <w:t>张</w:t>
            </w:r>
          </w:p>
        </w:tc>
      </w:tr>
      <w:tr w14:paraId="58A7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29" w:type="dxa"/>
            <w:vMerge w:val="continue"/>
            <w:vAlign w:val="top"/>
          </w:tcPr>
          <w:p w14:paraId="2BA0B18F">
            <w:pPr>
              <w:rPr>
                <w:rFonts w:ascii="Arial"/>
                <w:sz w:val="21"/>
              </w:rPr>
            </w:pPr>
          </w:p>
        </w:tc>
        <w:tc>
          <w:tcPr>
            <w:tcW w:w="3285" w:type="dxa"/>
            <w:vAlign w:val="top"/>
          </w:tcPr>
          <w:p w14:paraId="25EB24CB">
            <w:pPr>
              <w:pStyle w:val="33"/>
              <w:spacing w:before="86" w:line="221" w:lineRule="auto"/>
              <w:ind w:left="874"/>
            </w:pPr>
            <w:r>
              <w:t>拟投保医务人员数</w:t>
            </w:r>
          </w:p>
        </w:tc>
        <w:tc>
          <w:tcPr>
            <w:tcW w:w="1534" w:type="dxa"/>
            <w:vAlign w:val="top"/>
          </w:tcPr>
          <w:p w14:paraId="583713FC">
            <w:pPr>
              <w:spacing w:before="105" w:line="183" w:lineRule="auto"/>
              <w:ind w:left="590"/>
              <w:rPr>
                <w:rFonts w:hint="default" w:ascii="Segoe UI Symbol" w:hAnsi="Segoe UI Symbol" w:eastAsia="宋体" w:cs="Segoe UI Symbol"/>
                <w:sz w:val="19"/>
                <w:szCs w:val="19"/>
                <w:lang w:val="en-US" w:eastAsia="zh-CN"/>
              </w:rPr>
            </w:pPr>
            <w:r>
              <w:rPr>
                <w:rFonts w:hint="eastAsia" w:ascii="Segoe UI Symbol" w:hAnsi="Segoe UI Symbol" w:eastAsia="宋体" w:cs="Segoe UI Symbol"/>
                <w:spacing w:val="14"/>
                <w:sz w:val="19"/>
                <w:szCs w:val="19"/>
                <w:lang w:val="en-US" w:eastAsia="zh-CN"/>
              </w:rPr>
              <w:t>185</w:t>
            </w:r>
          </w:p>
        </w:tc>
        <w:tc>
          <w:tcPr>
            <w:tcW w:w="1576" w:type="dxa"/>
            <w:vAlign w:val="top"/>
          </w:tcPr>
          <w:p w14:paraId="78D81081">
            <w:pPr>
              <w:pStyle w:val="33"/>
              <w:spacing w:before="87" w:line="224" w:lineRule="auto"/>
              <w:ind w:left="696"/>
            </w:pPr>
            <w:r>
              <w:t>人</w:t>
            </w:r>
          </w:p>
        </w:tc>
      </w:tr>
      <w:tr w14:paraId="3B8E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9" w:type="dxa"/>
            <w:vMerge w:val="continue"/>
            <w:vAlign w:val="top"/>
          </w:tcPr>
          <w:p w14:paraId="444998C5">
            <w:pPr>
              <w:rPr>
                <w:rFonts w:ascii="Arial"/>
                <w:sz w:val="21"/>
              </w:rPr>
            </w:pPr>
          </w:p>
        </w:tc>
        <w:tc>
          <w:tcPr>
            <w:tcW w:w="3285" w:type="dxa"/>
            <w:vAlign w:val="top"/>
          </w:tcPr>
          <w:p w14:paraId="5B336D7F">
            <w:pPr>
              <w:pStyle w:val="33"/>
              <w:spacing w:before="89" w:line="221" w:lineRule="auto"/>
              <w:ind w:left="971"/>
            </w:pPr>
            <w:r>
              <w:t>拟投保手术台数</w:t>
            </w:r>
          </w:p>
        </w:tc>
        <w:tc>
          <w:tcPr>
            <w:tcW w:w="1534" w:type="dxa"/>
            <w:vAlign w:val="top"/>
          </w:tcPr>
          <w:p w14:paraId="70AEDA53">
            <w:pPr>
              <w:spacing w:before="105" w:line="183" w:lineRule="auto"/>
              <w:ind w:left="590"/>
              <w:rPr>
                <w:rFonts w:ascii="Segoe UI Symbol" w:hAnsi="Segoe UI Symbol" w:eastAsia="Segoe UI Symbol" w:cs="Segoe UI Symbol"/>
                <w:sz w:val="19"/>
                <w:szCs w:val="19"/>
              </w:rPr>
            </w:pPr>
            <w:r>
              <w:rPr>
                <w:rFonts w:hint="eastAsia" w:ascii="Segoe UI Symbol" w:hAnsi="Segoe UI Symbol" w:eastAsia="宋体" w:cs="Segoe UI Symbol"/>
                <w:spacing w:val="14"/>
                <w:sz w:val="19"/>
                <w:szCs w:val="19"/>
                <w:lang w:val="en-US" w:eastAsia="zh-CN"/>
              </w:rPr>
              <w:t>1554</w:t>
            </w:r>
          </w:p>
        </w:tc>
        <w:tc>
          <w:tcPr>
            <w:tcW w:w="1576" w:type="dxa"/>
            <w:vAlign w:val="top"/>
          </w:tcPr>
          <w:p w14:paraId="547A6D70">
            <w:pPr>
              <w:pStyle w:val="33"/>
              <w:spacing w:before="89" w:line="221" w:lineRule="auto"/>
              <w:ind w:left="614"/>
            </w:pPr>
            <w:r>
              <w:rPr>
                <w:spacing w:val="-10"/>
              </w:rPr>
              <w:t>台次</w:t>
            </w:r>
          </w:p>
        </w:tc>
      </w:tr>
      <w:tr w14:paraId="2DC0E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29" w:type="dxa"/>
            <w:vMerge w:val="continue"/>
            <w:vAlign w:val="top"/>
          </w:tcPr>
          <w:p w14:paraId="00BD977F">
            <w:pPr>
              <w:pStyle w:val="33"/>
              <w:spacing w:before="91" w:line="221" w:lineRule="auto"/>
              <w:ind w:left="192"/>
            </w:pPr>
          </w:p>
        </w:tc>
        <w:tc>
          <w:tcPr>
            <w:tcW w:w="3285" w:type="dxa"/>
            <w:vAlign w:val="top"/>
          </w:tcPr>
          <w:p w14:paraId="537F4A40">
            <w:pPr>
              <w:pStyle w:val="33"/>
              <w:spacing w:before="91" w:line="221" w:lineRule="auto"/>
              <w:ind w:left="505" w:firstLine="570" w:firstLineChars="300"/>
            </w:pPr>
            <w:r>
              <w:t>拟投保</w:t>
            </w:r>
            <w:r>
              <w:rPr>
                <w:rFonts w:hint="eastAsia" w:ascii="宋体" w:hAnsi="宋体"/>
                <w:color w:val="auto"/>
                <w:highlight w:val="none"/>
              </w:rPr>
              <w:t>门诊数</w:t>
            </w:r>
          </w:p>
        </w:tc>
        <w:tc>
          <w:tcPr>
            <w:tcW w:w="1534" w:type="dxa"/>
            <w:vAlign w:val="top"/>
          </w:tcPr>
          <w:p w14:paraId="3CD432B2">
            <w:pPr>
              <w:spacing w:before="105" w:line="183" w:lineRule="auto"/>
              <w:ind w:left="590"/>
              <w:rPr>
                <w:rFonts w:ascii="Segoe UI Symbol" w:hAnsi="Segoe UI Symbol" w:eastAsia="Segoe UI Symbol" w:cs="Segoe UI Symbol"/>
                <w:sz w:val="19"/>
                <w:szCs w:val="19"/>
              </w:rPr>
            </w:pPr>
            <w:r>
              <w:rPr>
                <w:rFonts w:hint="eastAsia" w:ascii="Segoe UI Symbol" w:hAnsi="Segoe UI Symbol" w:eastAsia="宋体" w:cs="Segoe UI Symbol"/>
                <w:spacing w:val="14"/>
                <w:sz w:val="19"/>
                <w:szCs w:val="19"/>
                <w:lang w:val="en-US" w:eastAsia="zh-CN"/>
              </w:rPr>
              <w:t>144,128</w:t>
            </w:r>
          </w:p>
        </w:tc>
        <w:tc>
          <w:tcPr>
            <w:tcW w:w="1576" w:type="dxa"/>
            <w:vAlign w:val="top"/>
          </w:tcPr>
          <w:p w14:paraId="16230355">
            <w:pPr>
              <w:pStyle w:val="33"/>
              <w:spacing w:before="91" w:line="222" w:lineRule="auto"/>
              <w:ind w:left="698"/>
              <w:rPr>
                <w:rFonts w:hint="eastAsia" w:eastAsia="宋体"/>
                <w:lang w:val="en-US" w:eastAsia="zh-CN"/>
              </w:rPr>
            </w:pPr>
            <w:r>
              <w:rPr>
                <w:rFonts w:hint="eastAsia"/>
                <w:lang w:val="en-US" w:eastAsia="zh-CN"/>
              </w:rPr>
              <w:t>人</w:t>
            </w:r>
          </w:p>
        </w:tc>
      </w:tr>
      <w:tr w14:paraId="5B27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29" w:type="dxa"/>
            <w:vAlign w:val="top"/>
          </w:tcPr>
          <w:p w14:paraId="1062340F">
            <w:pPr>
              <w:pStyle w:val="33"/>
              <w:spacing w:before="91" w:line="221" w:lineRule="auto"/>
              <w:ind w:left="192"/>
              <w:rPr>
                <w:spacing w:val="-6"/>
              </w:rPr>
            </w:pPr>
            <w:r>
              <w:rPr>
                <w:spacing w:val="-6"/>
              </w:rPr>
              <w:t>附加险</w:t>
            </w:r>
          </w:p>
        </w:tc>
        <w:tc>
          <w:tcPr>
            <w:tcW w:w="3285" w:type="dxa"/>
            <w:vAlign w:val="top"/>
          </w:tcPr>
          <w:p w14:paraId="25F97AB4">
            <w:pPr>
              <w:pStyle w:val="33"/>
              <w:spacing w:before="91" w:line="221" w:lineRule="auto"/>
              <w:ind w:left="505" w:firstLine="570" w:firstLineChars="300"/>
            </w:pPr>
            <w:r>
              <w:rPr>
                <w:rFonts w:hint="eastAsia"/>
                <w:lang w:val="en-US" w:eastAsia="zh-CN"/>
              </w:rPr>
              <w:t>公众</w:t>
            </w:r>
            <w:r>
              <w:t>责任保险</w:t>
            </w:r>
          </w:p>
        </w:tc>
        <w:tc>
          <w:tcPr>
            <w:tcW w:w="1534" w:type="dxa"/>
            <w:vAlign w:val="top"/>
          </w:tcPr>
          <w:p w14:paraId="5D75CA29">
            <w:pPr>
              <w:spacing w:before="114" w:line="180" w:lineRule="auto"/>
              <w:ind w:left="724"/>
              <w:rPr>
                <w:rFonts w:hint="eastAsia" w:ascii="Segoe UI Symbol" w:hAnsi="Segoe UI Symbol" w:eastAsia="宋体" w:cs="Segoe UI Symbol"/>
                <w:sz w:val="19"/>
                <w:szCs w:val="19"/>
                <w:lang w:val="en-US" w:eastAsia="zh-CN"/>
              </w:rPr>
            </w:pPr>
            <w:r>
              <w:rPr>
                <w:rFonts w:hint="eastAsia" w:ascii="Segoe UI Symbol" w:hAnsi="Segoe UI Symbol" w:eastAsia="宋体" w:cs="Segoe UI Symbol"/>
                <w:sz w:val="19"/>
                <w:szCs w:val="19"/>
                <w:lang w:val="en-US" w:eastAsia="zh-CN"/>
              </w:rPr>
              <w:t>1</w:t>
            </w:r>
          </w:p>
        </w:tc>
        <w:tc>
          <w:tcPr>
            <w:tcW w:w="1576" w:type="dxa"/>
            <w:vAlign w:val="top"/>
          </w:tcPr>
          <w:p w14:paraId="09CC6A51">
            <w:pPr>
              <w:pStyle w:val="33"/>
              <w:spacing w:before="91" w:line="222" w:lineRule="auto"/>
              <w:ind w:left="698"/>
            </w:pPr>
            <w:r>
              <w:t>项</w:t>
            </w:r>
          </w:p>
        </w:tc>
      </w:tr>
    </w:tbl>
    <w:p w14:paraId="64EEAE76">
      <w:pPr>
        <w:pStyle w:val="13"/>
        <w:ind w:firstLine="0"/>
        <w:jc w:val="both"/>
        <w:rPr>
          <w:rFonts w:hint="eastAsia"/>
          <w:sz w:val="21"/>
          <w:lang w:val="en-US" w:eastAsia="zh-CN"/>
        </w:rPr>
      </w:pPr>
    </w:p>
    <w:p w14:paraId="7B15E297">
      <w:pPr>
        <w:tabs>
          <w:tab w:val="left" w:pos="1145"/>
        </w:tabs>
        <w:spacing w:line="360" w:lineRule="auto"/>
        <w:ind w:firstLine="422" w:firstLineChars="200"/>
        <w:rPr>
          <w:rFonts w:ascii="宋体" w:hAnsi="宋体"/>
          <w:b/>
          <w:color w:val="auto"/>
          <w:u w:val="single"/>
        </w:rPr>
      </w:pPr>
      <w:bookmarkStart w:id="0" w:name="_Toc10843_WPSOffice_Level2"/>
      <w:bookmarkStart w:id="1" w:name="_Toc29731_WPSOffice_Level2"/>
      <w:r>
        <w:rPr>
          <w:rFonts w:hint="eastAsia" w:ascii="宋体" w:hAnsi="宋体"/>
          <w:b/>
          <w:color w:val="auto"/>
          <w:u w:val="single"/>
          <w:lang w:val="en-US" w:eastAsia="zh-CN"/>
        </w:rPr>
        <w:t>1.2</w:t>
      </w:r>
      <w:r>
        <w:rPr>
          <w:rFonts w:hint="eastAsia" w:ascii="宋体" w:hAnsi="宋体"/>
          <w:b/>
          <w:color w:val="auto"/>
          <w:u w:val="single"/>
        </w:rPr>
        <w:t>技术</w:t>
      </w:r>
      <w:r>
        <w:rPr>
          <w:rFonts w:hint="eastAsia" w:ascii="宋体" w:hAnsi="宋体"/>
          <w:b/>
          <w:color w:val="auto"/>
          <w:u w:val="single"/>
          <w:lang w:val="en-US" w:eastAsia="zh-CN"/>
        </w:rPr>
        <w:t>需求</w:t>
      </w:r>
      <w:bookmarkEnd w:id="0"/>
      <w:bookmarkEnd w:id="1"/>
      <w:r>
        <w:rPr>
          <w:rFonts w:ascii="宋体" w:hAnsi="宋体"/>
          <w:b/>
          <w:color w:val="auto"/>
          <w:u w:val="singl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6849"/>
      </w:tblGrid>
      <w:tr w14:paraId="4C13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4BEFD3A0">
            <w:pPr>
              <w:jc w:val="center"/>
              <w:rPr>
                <w:rFonts w:ascii="宋体" w:hAnsi="Calibri" w:cs="宋体"/>
                <w:b/>
                <w:color w:val="auto"/>
              </w:rPr>
            </w:pPr>
            <w:r>
              <w:rPr>
                <w:rFonts w:hint="eastAsia" w:ascii="宋体" w:hAnsi="宋体" w:cs="宋体"/>
                <w:b/>
                <w:color w:val="auto"/>
              </w:rPr>
              <w:t>项目</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5D09E2E7">
            <w:pPr>
              <w:jc w:val="center"/>
              <w:rPr>
                <w:rFonts w:ascii="宋体" w:hAnsi="Calibri" w:cs="宋体"/>
                <w:b/>
                <w:color w:val="auto"/>
              </w:rPr>
            </w:pPr>
            <w:r>
              <w:rPr>
                <w:rFonts w:hint="eastAsia" w:ascii="宋体" w:hAnsi="宋体" w:cs="宋体"/>
                <w:b/>
                <w:color w:val="auto"/>
              </w:rPr>
              <w:t>内容</w:t>
            </w:r>
          </w:p>
        </w:tc>
      </w:tr>
      <w:tr w14:paraId="0975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23E3F274">
            <w:pPr>
              <w:jc w:val="center"/>
              <w:rPr>
                <w:rFonts w:hint="eastAsia" w:ascii="宋体" w:hAnsi="宋体" w:cs="宋体"/>
                <w:color w:val="auto"/>
                <w:highlight w:val="none"/>
              </w:rPr>
            </w:pPr>
            <w:r>
              <w:rPr>
                <w:rFonts w:ascii="Segoe UI Symbol" w:hAnsi="Segoe UI Symbol" w:eastAsia="Segoe UI Symbol" w:cs="Segoe UI Symbol"/>
                <w:sz w:val="19"/>
                <w:szCs w:val="19"/>
              </w:rPr>
              <w:t>★</w:t>
            </w:r>
            <w:r>
              <w:rPr>
                <w:rFonts w:hint="eastAsia" w:ascii="宋体" w:hAnsi="宋体" w:cs="宋体"/>
                <w:color w:val="auto"/>
                <w:highlight w:val="none"/>
                <w:lang w:val="en-US" w:eastAsia="zh-CN"/>
              </w:rPr>
              <w:t>1</w:t>
            </w:r>
            <w:r>
              <w:rPr>
                <w:rFonts w:hint="eastAsia" w:ascii="宋体" w:hAnsi="宋体" w:cs="宋体"/>
                <w:color w:val="auto"/>
                <w:highlight w:val="none"/>
              </w:rPr>
              <w:t>.赔偿限额</w:t>
            </w:r>
          </w:p>
        </w:tc>
        <w:tc>
          <w:tcPr>
            <w:tcW w:w="6849" w:type="dxa"/>
            <w:tcBorders>
              <w:top w:val="single" w:color="auto" w:sz="4" w:space="0"/>
              <w:left w:val="single" w:color="auto" w:sz="4" w:space="0"/>
              <w:bottom w:val="single" w:color="auto" w:sz="4" w:space="0"/>
              <w:right w:val="single" w:color="auto" w:sz="4" w:space="0"/>
            </w:tcBorders>
            <w:noWrap w:val="0"/>
            <w:vAlign w:val="top"/>
          </w:tcPr>
          <w:p w14:paraId="53D36291">
            <w:pPr>
              <w:rPr>
                <w:rFonts w:hint="eastAsia" w:ascii="宋体" w:hAnsi="宋体" w:cs="Adobe 仿宋 Std R"/>
                <w:szCs w:val="21"/>
              </w:rPr>
            </w:pPr>
            <w:r>
              <w:rPr>
                <w:rFonts w:hint="eastAsia" w:ascii="宋体" w:hAnsi="宋体" w:eastAsia="宋体" w:cs="Adobe 仿宋 Std R"/>
                <w:szCs w:val="21"/>
                <w:lang w:val="en-US" w:eastAsia="zh-CN"/>
              </w:rPr>
              <w:t>医疗责任险：1、全</w:t>
            </w:r>
            <w:r>
              <w:rPr>
                <w:rFonts w:hint="eastAsia" w:ascii="宋体" w:hAnsi="宋体" w:eastAsia="宋体" w:cs="Adobe 仿宋 Std R"/>
                <w:szCs w:val="21"/>
              </w:rPr>
              <w:t>年赔偿累计限额：</w:t>
            </w:r>
            <w:r>
              <w:rPr>
                <w:rFonts w:hint="eastAsia" w:ascii="宋体" w:hAnsi="宋体" w:cs="Adobe 仿宋 Std R"/>
                <w:szCs w:val="21"/>
                <w:u w:val="single"/>
                <w:lang w:val="en-US" w:eastAsia="zh-CN"/>
              </w:rPr>
              <w:t>100</w:t>
            </w:r>
            <w:r>
              <w:rPr>
                <w:rFonts w:hint="eastAsia" w:ascii="宋体" w:hAnsi="宋体" w:eastAsia="宋体" w:cs="Adobe 仿宋 Std R"/>
                <w:szCs w:val="21"/>
              </w:rPr>
              <w:t>万元</w:t>
            </w:r>
            <w:r>
              <w:rPr>
                <w:rFonts w:hint="eastAsia" w:ascii="宋体" w:hAnsi="宋体" w:cs="Adobe 仿宋 Std R"/>
                <w:szCs w:val="21"/>
                <w:lang w:eastAsia="zh-CN"/>
              </w:rPr>
              <w:t>；</w:t>
            </w:r>
            <w:r>
              <w:rPr>
                <w:rFonts w:hint="eastAsia" w:ascii="宋体" w:hAnsi="宋体" w:eastAsia="宋体" w:cs="Adobe 仿宋 Std R"/>
                <w:szCs w:val="21"/>
              </w:rPr>
              <w:t xml:space="preserve"> </w:t>
            </w:r>
            <w:r>
              <w:rPr>
                <w:rFonts w:hint="eastAsia" w:ascii="宋体" w:hAnsi="宋体" w:cs="Adobe 仿宋 Std R"/>
                <w:szCs w:val="21"/>
              </w:rPr>
              <w:t>2、每次事故赔偿限额：</w:t>
            </w:r>
            <w:r>
              <w:rPr>
                <w:rFonts w:hint="eastAsia" w:ascii="宋体" w:hAnsi="宋体" w:cs="Adobe 仿宋 Std R"/>
                <w:szCs w:val="21"/>
                <w:u w:val="single"/>
                <w:lang w:val="en-US" w:eastAsia="zh-CN"/>
              </w:rPr>
              <w:t>50</w:t>
            </w:r>
            <w:r>
              <w:rPr>
                <w:rFonts w:hint="eastAsia" w:ascii="宋体" w:hAnsi="宋体" w:cs="Adobe 仿宋 Std R"/>
                <w:szCs w:val="21"/>
              </w:rPr>
              <w:t>万元；3、法律费用每次及累计限额：</w:t>
            </w:r>
            <w:r>
              <w:rPr>
                <w:rFonts w:hint="eastAsia" w:ascii="宋体" w:hAnsi="宋体" w:cs="Adobe 仿宋 Std R"/>
                <w:szCs w:val="21"/>
                <w:u w:val="single"/>
                <w:lang w:val="en-US" w:eastAsia="zh-CN"/>
              </w:rPr>
              <w:t>10</w:t>
            </w:r>
            <w:r>
              <w:rPr>
                <w:rFonts w:hint="eastAsia" w:ascii="宋体" w:hAnsi="宋体" w:cs="Adobe 仿宋 Std R"/>
                <w:szCs w:val="21"/>
              </w:rPr>
              <w:t>万元。</w:t>
            </w:r>
          </w:p>
          <w:p w14:paraId="45B51E44">
            <w:pPr>
              <w:rPr>
                <w:rFonts w:hint="default" w:ascii="宋体" w:hAnsi="宋体" w:cs="Adobe 仿宋 Std R" w:eastAsiaTheme="minorEastAsia"/>
                <w:szCs w:val="21"/>
                <w:lang w:val="en-US" w:eastAsia="zh-CN"/>
              </w:rPr>
            </w:pPr>
            <w:r>
              <w:rPr>
                <w:rFonts w:hint="eastAsia" w:ascii="宋体" w:hAnsi="宋体" w:cs="Adobe 仿宋 Std R"/>
                <w:szCs w:val="21"/>
                <w:lang w:val="en-US" w:eastAsia="zh-CN"/>
              </w:rPr>
              <w:t>公众责任险：</w:t>
            </w:r>
            <w:r>
              <w:rPr>
                <w:rFonts w:hint="eastAsia" w:ascii="宋体" w:hAnsi="宋体" w:eastAsia="宋体" w:cs="Adobe 仿宋 Std R"/>
                <w:szCs w:val="21"/>
                <w:lang w:val="en-US" w:eastAsia="zh-CN"/>
              </w:rPr>
              <w:t>1、全</w:t>
            </w:r>
            <w:r>
              <w:rPr>
                <w:rFonts w:hint="eastAsia" w:ascii="宋体" w:hAnsi="宋体" w:eastAsia="宋体" w:cs="Adobe 仿宋 Std R"/>
                <w:szCs w:val="21"/>
              </w:rPr>
              <w:t>年赔偿累计限额：</w:t>
            </w:r>
            <w:r>
              <w:rPr>
                <w:rFonts w:hint="eastAsia" w:ascii="宋体" w:hAnsi="宋体" w:cs="Adobe 仿宋 Std R"/>
                <w:szCs w:val="21"/>
                <w:u w:val="single"/>
                <w:lang w:val="en-US" w:eastAsia="zh-CN"/>
              </w:rPr>
              <w:t>50</w:t>
            </w:r>
            <w:r>
              <w:rPr>
                <w:rFonts w:hint="eastAsia" w:ascii="宋体" w:hAnsi="宋体" w:eastAsia="宋体" w:cs="Adobe 仿宋 Std R"/>
                <w:szCs w:val="21"/>
              </w:rPr>
              <w:t>万元</w:t>
            </w:r>
            <w:r>
              <w:rPr>
                <w:rFonts w:hint="eastAsia" w:ascii="宋体" w:hAnsi="宋体" w:cs="Adobe 仿宋 Std R"/>
                <w:szCs w:val="21"/>
                <w:lang w:eastAsia="zh-CN"/>
              </w:rPr>
              <w:t>；</w:t>
            </w:r>
            <w:r>
              <w:rPr>
                <w:rFonts w:hint="eastAsia" w:ascii="宋体" w:hAnsi="宋体" w:eastAsia="宋体" w:cs="Adobe 仿宋 Std R"/>
                <w:szCs w:val="21"/>
              </w:rPr>
              <w:t xml:space="preserve"> </w:t>
            </w:r>
            <w:r>
              <w:rPr>
                <w:rFonts w:hint="eastAsia" w:ascii="宋体" w:hAnsi="宋体" w:cs="Adobe 仿宋 Std R"/>
                <w:szCs w:val="21"/>
              </w:rPr>
              <w:t>2、每次事故赔偿限额：</w:t>
            </w:r>
            <w:r>
              <w:rPr>
                <w:rFonts w:hint="eastAsia" w:ascii="宋体" w:hAnsi="宋体" w:cs="Adobe 仿宋 Std R"/>
                <w:szCs w:val="21"/>
                <w:lang w:val="en-US" w:eastAsia="zh-CN"/>
              </w:rPr>
              <w:t>10万元</w:t>
            </w:r>
            <w:r>
              <w:rPr>
                <w:rFonts w:hint="eastAsia" w:ascii="宋体" w:hAnsi="宋体" w:cs="Adobe 仿宋 Std R"/>
                <w:szCs w:val="21"/>
              </w:rPr>
              <w:t>3、法律费用每次及累计限额：</w:t>
            </w:r>
            <w:r>
              <w:rPr>
                <w:rFonts w:hint="eastAsia" w:ascii="宋体" w:hAnsi="宋体" w:cs="Adobe 仿宋 Std R"/>
                <w:szCs w:val="21"/>
                <w:lang w:val="en-US" w:eastAsia="zh-CN"/>
              </w:rPr>
              <w:t>5</w:t>
            </w:r>
            <w:r>
              <w:rPr>
                <w:rFonts w:hint="eastAsia" w:ascii="宋体" w:hAnsi="宋体" w:cs="Adobe 仿宋 Std R"/>
                <w:szCs w:val="21"/>
              </w:rPr>
              <w:t>万元。</w:t>
            </w:r>
          </w:p>
        </w:tc>
      </w:tr>
      <w:tr w14:paraId="54D3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4C90813B">
            <w:pPr>
              <w:jc w:val="center"/>
              <w:rPr>
                <w:rFonts w:ascii="宋体" w:hAnsi="宋体" w:cs="宋体"/>
                <w:color w:val="auto"/>
              </w:rPr>
            </w:pPr>
            <w:r>
              <w:rPr>
                <w:rFonts w:ascii="Segoe UI Symbol" w:hAnsi="Segoe UI Symbol" w:eastAsia="Segoe UI Symbol" w:cs="Segoe UI Symbol"/>
                <w:sz w:val="19"/>
                <w:szCs w:val="19"/>
              </w:rPr>
              <w:t>★</w:t>
            </w:r>
            <w:r>
              <w:rPr>
                <w:rFonts w:hint="eastAsia" w:ascii="宋体" w:hAnsi="宋体" w:cs="宋体"/>
                <w:color w:val="auto"/>
                <w:lang w:val="en-US" w:eastAsia="zh-CN"/>
              </w:rPr>
              <w:t>2</w:t>
            </w:r>
            <w:r>
              <w:rPr>
                <w:rFonts w:hint="eastAsia" w:ascii="宋体" w:hAnsi="宋体" w:cs="宋体"/>
                <w:color w:val="auto"/>
              </w:rPr>
              <w:t>.免赔额</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5263255A">
            <w:pPr>
              <w:rPr>
                <w:rFonts w:ascii="宋体" w:cs="宋体"/>
                <w:color w:val="auto"/>
                <w:highlight w:val="yellow"/>
              </w:rPr>
            </w:pPr>
            <w:r>
              <w:rPr>
                <w:rFonts w:ascii="宋体" w:cs="宋体"/>
                <w:color w:val="auto"/>
                <w:highlight w:val="none"/>
              </w:rPr>
              <w:t>无</w:t>
            </w:r>
          </w:p>
        </w:tc>
      </w:tr>
      <w:tr w14:paraId="5B8B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236F15A7">
            <w:pPr>
              <w:tabs>
                <w:tab w:val="left" w:pos="1620"/>
              </w:tabs>
              <w:rPr>
                <w:rFonts w:ascii="宋体" w:hAnsi="Calibri" w:cs="宋体"/>
                <w:color w:val="auto"/>
              </w:rPr>
            </w:pPr>
            <w:r>
              <w:rPr>
                <w:rFonts w:ascii="Segoe UI Symbol" w:hAnsi="Segoe UI Symbol" w:eastAsia="Segoe UI Symbol" w:cs="Segoe UI Symbol"/>
                <w:sz w:val="19"/>
                <w:szCs w:val="19"/>
              </w:rPr>
              <w:t>★</w:t>
            </w:r>
            <w:r>
              <w:rPr>
                <w:rFonts w:hint="eastAsia" w:ascii="宋体" w:hAnsi="宋体" w:cs="宋体"/>
                <w:color w:val="auto"/>
                <w:lang w:val="en-US" w:eastAsia="zh-CN"/>
              </w:rPr>
              <w:t>3</w:t>
            </w:r>
            <w:r>
              <w:rPr>
                <w:rFonts w:hint="eastAsia" w:ascii="宋体" w:hAnsi="宋体" w:cs="宋体"/>
                <w:color w:val="auto"/>
              </w:rPr>
              <w:t>.承保基础</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7A5699BA">
            <w:pPr>
              <w:rPr>
                <w:rFonts w:ascii="宋体" w:cs="宋体"/>
                <w:color w:val="auto"/>
                <w:highlight w:val="none"/>
              </w:rPr>
            </w:pPr>
            <w:r>
              <w:rPr>
                <w:rFonts w:hint="eastAsia" w:ascii="宋体" w:hAnsi="宋体" w:cs="宋体"/>
                <w:color w:val="auto"/>
                <w:highlight w:val="none"/>
              </w:rPr>
              <w:t>期内索赔制。</w:t>
            </w:r>
          </w:p>
        </w:tc>
      </w:tr>
      <w:tr w14:paraId="49AB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68E819DD">
            <w:pPr>
              <w:tabs>
                <w:tab w:val="left" w:pos="1620"/>
              </w:tabs>
              <w:rPr>
                <w:rFonts w:ascii="宋体" w:hAnsi="宋体" w:cs="宋体"/>
                <w:color w:val="auto"/>
              </w:rPr>
            </w:pPr>
            <w:r>
              <w:rPr>
                <w:rFonts w:ascii="Segoe UI Symbol" w:hAnsi="Segoe UI Symbol" w:eastAsia="Segoe UI Symbol" w:cs="Segoe UI Symbol"/>
                <w:sz w:val="19"/>
                <w:szCs w:val="19"/>
              </w:rPr>
              <w:t>★</w:t>
            </w:r>
            <w:r>
              <w:rPr>
                <w:rFonts w:hint="eastAsia" w:ascii="宋体" w:hAnsi="宋体" w:cs="宋体"/>
                <w:color w:val="auto"/>
                <w:lang w:val="en-US" w:eastAsia="zh-CN"/>
              </w:rPr>
              <w:t>4</w:t>
            </w:r>
            <w:r>
              <w:rPr>
                <w:rFonts w:hint="eastAsia" w:ascii="宋体" w:hAnsi="宋体" w:cs="宋体"/>
                <w:color w:val="auto"/>
              </w:rPr>
              <w:t>.适用条款</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00380F58">
            <w:pPr>
              <w:rPr>
                <w:rFonts w:ascii="宋体" w:hAnsi="宋体" w:cs="宋体"/>
                <w:color w:val="auto"/>
                <w:highlight w:val="none"/>
              </w:rPr>
            </w:pPr>
            <w:r>
              <w:rPr>
                <w:rFonts w:hint="eastAsia" w:ascii="宋体" w:hAnsi="宋体" w:cs="宋体"/>
                <w:b/>
                <w:color w:val="auto"/>
                <w:highlight w:val="none"/>
              </w:rPr>
              <w:t>适用条款：</w:t>
            </w:r>
            <w:r>
              <w:rPr>
                <w:rFonts w:hint="eastAsia" w:ascii="宋体" w:hAnsi="宋体" w:cs="宋体"/>
                <w:color w:val="auto"/>
                <w:highlight w:val="none"/>
              </w:rPr>
              <w:t>《广东省医疗机构医疗责任保险</w:t>
            </w:r>
            <w:r>
              <w:rPr>
                <w:rFonts w:hint="eastAsia" w:ascii="宋体" w:hAnsi="宋体" w:cs="宋体"/>
                <w:color w:val="auto"/>
                <w:highlight w:val="none"/>
                <w:lang w:eastAsia="zh-CN"/>
              </w:rPr>
              <w:t>示范</w:t>
            </w:r>
            <w:r>
              <w:rPr>
                <w:rFonts w:hint="eastAsia" w:ascii="宋体" w:hAnsi="宋体" w:cs="宋体"/>
                <w:color w:val="auto"/>
                <w:highlight w:val="none"/>
              </w:rPr>
              <w:t>条款》（详见</w:t>
            </w:r>
            <w:r>
              <w:rPr>
                <w:rFonts w:hint="eastAsia" w:ascii="宋体" w:hAnsi="宋体" w:cs="宋体"/>
                <w:b/>
                <w:color w:val="auto"/>
                <w:highlight w:val="none"/>
              </w:rPr>
              <w:t>附件</w:t>
            </w:r>
            <w:r>
              <w:rPr>
                <w:rFonts w:hint="eastAsia"/>
                <w:b/>
                <w:bCs/>
                <w:color w:val="auto"/>
                <w:highlight w:val="none"/>
              </w:rPr>
              <w:t>Ⅰ</w:t>
            </w:r>
            <w:r>
              <w:rPr>
                <w:rFonts w:hint="eastAsia" w:ascii="宋体" w:hAnsi="宋体" w:cs="宋体"/>
                <w:color w:val="auto"/>
                <w:highlight w:val="none"/>
              </w:rPr>
              <w:t>）</w:t>
            </w:r>
          </w:p>
        </w:tc>
      </w:tr>
      <w:tr w14:paraId="1865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2EF05090">
            <w:pPr>
              <w:tabs>
                <w:tab w:val="left" w:pos="1620"/>
              </w:tabs>
              <w:rPr>
                <w:rFonts w:hint="eastAsia" w:ascii="宋体" w:hAnsi="宋体" w:cs="宋体"/>
                <w:color w:val="auto"/>
              </w:rPr>
            </w:pPr>
            <w:r>
              <w:rPr>
                <w:rFonts w:ascii="Segoe UI Symbol" w:hAnsi="Segoe UI Symbol" w:eastAsia="Segoe UI Symbol" w:cs="Segoe UI Symbol"/>
                <w:sz w:val="19"/>
                <w:szCs w:val="19"/>
              </w:rPr>
              <w:t>★</w:t>
            </w:r>
            <w:r>
              <w:rPr>
                <w:rFonts w:hint="eastAsia" w:ascii="宋体" w:hAnsi="宋体" w:cs="宋体"/>
                <w:color w:val="auto"/>
                <w:lang w:val="en-US" w:eastAsia="zh-CN"/>
              </w:rPr>
              <w:t>5</w:t>
            </w:r>
            <w:r>
              <w:rPr>
                <w:rFonts w:hint="eastAsia" w:ascii="宋体" w:hAnsi="宋体" w:cs="宋体"/>
                <w:color w:val="auto"/>
              </w:rPr>
              <w:t>.特别约定</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1EFB90DB">
            <w:pPr>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1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次数</w:t>
            </w:r>
            <w:r>
              <w:rPr>
                <w:rFonts w:hint="eastAsia" w:ascii="宋体" w:hAnsi="宋体" w:cs="宋体"/>
                <w:color w:val="auto"/>
                <w:highlight w:val="none"/>
                <w:lang w:eastAsia="zh-CN"/>
              </w:rPr>
              <w:t>不得超过</w:t>
            </w:r>
            <w:r>
              <w:rPr>
                <w:rFonts w:hint="eastAsia" w:ascii="宋体" w:hAnsi="宋体" w:cs="宋体"/>
                <w:color w:val="auto"/>
                <w:highlight w:val="none"/>
                <w:lang w:val="en-US" w:eastAsia="zh-CN"/>
              </w:rPr>
              <w:t>2次（含2次）。</w:t>
            </w:r>
          </w:p>
          <w:p w14:paraId="7999C272">
            <w:pPr>
              <w:rPr>
                <w:rFonts w:hint="eastAsia" w:ascii="宋体" w:hAnsi="宋体" w:cs="宋体"/>
                <w:color w:val="auto"/>
                <w:highlight w:val="none"/>
              </w:rPr>
            </w:pPr>
          </w:p>
          <w:p w14:paraId="5A152E77">
            <w:pPr>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 xml:space="preserve">2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 </w:t>
            </w:r>
          </w:p>
          <w:p w14:paraId="4054B013">
            <w:pPr>
              <w:rPr>
                <w:rFonts w:hint="eastAsia" w:ascii="宋体" w:hAnsi="宋体" w:cs="宋体"/>
                <w:color w:val="auto"/>
                <w:highlight w:val="none"/>
              </w:rPr>
            </w:pPr>
          </w:p>
          <w:p w14:paraId="78BE6B7A">
            <w:pPr>
              <w:rPr>
                <w:rFonts w:hint="eastAsia" w:ascii="宋体" w:hAnsi="宋体" w:cs="宋体"/>
                <w:color w:val="auto"/>
                <w:highlight w:val="none"/>
              </w:rPr>
            </w:pPr>
            <w:r>
              <w:rPr>
                <w:rFonts w:hint="eastAsia" w:ascii="宋体" w:hAnsi="宋体" w:cs="宋体"/>
                <w:color w:val="auto"/>
                <w:highlight w:val="none"/>
                <w:lang w:val="en-US" w:eastAsia="zh-CN"/>
              </w:rPr>
              <w:t>7.3</w:t>
            </w:r>
            <w:r>
              <w:rPr>
                <w:rFonts w:hint="eastAsia" w:ascii="宋体" w:hAnsi="宋体" w:cs="宋体"/>
                <w:color w:val="auto"/>
                <w:highlight w:val="none"/>
              </w:rPr>
              <w:t>经</w:t>
            </w:r>
            <w:r>
              <w:rPr>
                <w:rFonts w:hint="eastAsia" w:ascii="宋体" w:hAnsi="宋体" w:cs="宋体"/>
                <w:color w:val="auto"/>
                <w:highlight w:val="none"/>
                <w:lang w:eastAsia="zh-CN"/>
              </w:rPr>
              <w:t>投保人与保险人协商</w:t>
            </w:r>
            <w:r>
              <w:rPr>
                <w:rFonts w:hint="eastAsia" w:ascii="宋体" w:hAnsi="宋体" w:cs="宋体"/>
                <w:color w:val="auto"/>
                <w:highlight w:val="none"/>
              </w:rPr>
              <w:t>一致，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14:paraId="64737020">
            <w:pPr>
              <w:rPr>
                <w:rFonts w:hint="eastAsia" w:ascii="宋体" w:hAnsi="宋体" w:cs="宋体"/>
                <w:b/>
                <w:bCs/>
                <w:color w:val="auto"/>
                <w:highlight w:val="none"/>
              </w:rPr>
            </w:pPr>
            <w:r>
              <w:rPr>
                <w:rFonts w:hint="eastAsia" w:ascii="宋体" w:hAnsi="宋体" w:cs="宋体"/>
                <w:b/>
                <w:bCs/>
                <w:color w:val="auto"/>
                <w:highlight w:val="none"/>
              </w:rPr>
              <w:t xml:space="preserve">被保险人应在保险合同成立后30日内提供医务人员数的清单（医院需盖章）供保险人进行核查，该清单仅供保险人核查人数。如保险公司在收到医务人员清单后7个工作日内无异议，则视为足额投保。  </w:t>
            </w:r>
          </w:p>
          <w:p w14:paraId="0EF0085F">
            <w:pPr>
              <w:rPr>
                <w:rFonts w:hint="eastAsia" w:ascii="宋体" w:hAnsi="宋体" w:cs="宋体"/>
                <w:color w:val="auto"/>
                <w:highlight w:val="none"/>
              </w:rPr>
            </w:pPr>
          </w:p>
          <w:p w14:paraId="6607641A">
            <w:pPr>
              <w:rPr>
                <w:rFonts w:hint="eastAsia" w:ascii="宋体" w:hAnsi="宋体" w:cs="宋体"/>
                <w:color w:val="auto"/>
                <w:highlight w:val="none"/>
              </w:rPr>
            </w:pPr>
            <w:r>
              <w:rPr>
                <w:rFonts w:hint="eastAsia" w:ascii="宋体" w:hAnsi="宋体" w:cs="宋体"/>
                <w:color w:val="auto"/>
                <w:highlight w:val="none"/>
                <w:lang w:val="en-US" w:eastAsia="zh-CN"/>
              </w:rPr>
              <w:t>7.4</w:t>
            </w:r>
            <w:r>
              <w:rPr>
                <w:rFonts w:hint="eastAsia" w:ascii="宋体" w:hAnsi="宋体" w:cs="宋体"/>
                <w:color w:val="auto"/>
                <w:highlight w:val="none"/>
              </w:rPr>
              <w:t>经</w:t>
            </w:r>
            <w:r>
              <w:rPr>
                <w:rFonts w:hint="eastAsia" w:ascii="宋体" w:hAnsi="宋体" w:cs="宋体"/>
                <w:color w:val="auto"/>
                <w:highlight w:val="none"/>
                <w:lang w:eastAsia="zh-CN"/>
              </w:rPr>
              <w:t>投保人与保险人协商</w:t>
            </w:r>
            <w:r>
              <w:rPr>
                <w:rFonts w:hint="eastAsia" w:ascii="宋体" w:hAnsi="宋体" w:cs="宋体"/>
                <w:color w:val="auto"/>
                <w:highlight w:val="none"/>
              </w:rPr>
              <w:t>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14:paraId="546B0DED">
            <w:pPr>
              <w:rPr>
                <w:rFonts w:hint="eastAsia" w:ascii="宋体" w:hAnsi="宋体" w:cs="宋体"/>
                <w:color w:val="auto"/>
                <w:highlight w:val="none"/>
              </w:rPr>
            </w:pPr>
          </w:p>
          <w:p w14:paraId="7023687E">
            <w:pPr>
              <w:rPr>
                <w:rFonts w:hint="eastAsia" w:ascii="宋体" w:hAnsi="宋体" w:cs="宋体"/>
                <w:color w:val="auto"/>
                <w:highlight w:val="none"/>
                <w:lang w:eastAsia="zh-CN"/>
              </w:rPr>
            </w:pPr>
            <w:r>
              <w:rPr>
                <w:rFonts w:hint="eastAsia" w:ascii="宋体" w:hAnsi="宋体" w:cs="宋体"/>
                <w:color w:val="auto"/>
                <w:highlight w:val="none"/>
                <w:lang w:val="en-US" w:eastAsia="zh-CN"/>
              </w:rPr>
              <w:t>7.5</w:t>
            </w:r>
            <w:r>
              <w:rPr>
                <w:rFonts w:hint="eastAsia" w:ascii="宋体" w:hAnsi="宋体" w:cs="宋体"/>
                <w:color w:val="auto"/>
                <w:highlight w:val="none"/>
              </w:rPr>
              <w:t>经</w:t>
            </w:r>
            <w:r>
              <w:rPr>
                <w:rFonts w:hint="eastAsia" w:ascii="宋体" w:hAnsi="宋体" w:cs="宋体"/>
                <w:color w:val="auto"/>
                <w:highlight w:val="none"/>
                <w:lang w:eastAsia="zh-CN"/>
              </w:rPr>
              <w:t>投保人与保险人协商</w:t>
            </w:r>
            <w:r>
              <w:rPr>
                <w:rFonts w:hint="eastAsia" w:ascii="宋体" w:hAnsi="宋体" w:cs="宋体"/>
                <w:color w:val="auto"/>
                <w:highlight w:val="none"/>
              </w:rPr>
              <w:t>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r>
              <w:rPr>
                <w:rFonts w:hint="eastAsia" w:ascii="宋体" w:hAnsi="宋体" w:cs="宋体"/>
                <w:color w:val="auto"/>
                <w:highlight w:val="none"/>
                <w:lang w:eastAsia="zh-CN"/>
              </w:rPr>
              <w:t>。</w:t>
            </w:r>
          </w:p>
          <w:p w14:paraId="2C5FC59C">
            <w:pPr>
              <w:rPr>
                <w:rFonts w:hint="eastAsia" w:ascii="宋体" w:hAnsi="宋体" w:cs="宋体"/>
                <w:color w:val="auto"/>
                <w:highlight w:val="none"/>
              </w:rPr>
            </w:pPr>
          </w:p>
          <w:p w14:paraId="1BC9097F">
            <w:pPr>
              <w:rPr>
                <w:rFonts w:hint="eastAsia" w:ascii="宋体" w:hAnsi="宋体" w:cs="宋体"/>
                <w:color w:val="auto"/>
                <w:highlight w:val="none"/>
              </w:rPr>
            </w:pPr>
            <w:r>
              <w:rPr>
                <w:rFonts w:hint="eastAsia" w:ascii="宋体" w:hAnsi="宋体" w:cs="宋体"/>
                <w:color w:val="auto"/>
                <w:highlight w:val="none"/>
                <w:lang w:val="en-US" w:eastAsia="zh-CN"/>
              </w:rPr>
              <w:t>7.6</w:t>
            </w:r>
            <w:r>
              <w:rPr>
                <w:rFonts w:hint="eastAsia" w:ascii="宋体" w:hAnsi="宋体" w:cs="宋体"/>
                <w:color w:val="auto"/>
                <w:highlight w:val="none"/>
              </w:rPr>
              <w:t>经</w:t>
            </w:r>
            <w:r>
              <w:rPr>
                <w:rFonts w:hint="eastAsia" w:ascii="宋体" w:hAnsi="宋体" w:cs="宋体"/>
                <w:color w:val="auto"/>
                <w:highlight w:val="none"/>
                <w:lang w:eastAsia="zh-CN"/>
              </w:rPr>
              <w:t>投保人与保险人协商</w:t>
            </w:r>
            <w:r>
              <w:rPr>
                <w:rFonts w:hint="eastAsia" w:ascii="宋体" w:hAnsi="宋体" w:cs="宋体"/>
                <w:color w:val="auto"/>
                <w:highlight w:val="none"/>
              </w:rPr>
              <w:t>一致，保险人同意将被保险人根据外聘合同聘用以及根据卫生行政部门制定的帮扶政策聘用的外聘医务人员</w:t>
            </w:r>
            <w:r>
              <w:rPr>
                <w:rFonts w:hint="eastAsia" w:ascii="宋体" w:hAnsi="宋体" w:cs="宋体"/>
                <w:color w:val="auto"/>
                <w:highlight w:val="none"/>
                <w:lang w:eastAsia="zh-CN"/>
              </w:rPr>
              <w:t>，或</w:t>
            </w:r>
            <w:r>
              <w:rPr>
                <w:rFonts w:hint="eastAsia" w:ascii="宋体" w:hAnsi="宋体" w:cs="宋体"/>
                <w:color w:val="auto"/>
                <w:highlight w:val="none"/>
              </w:rPr>
              <w:t>正常会诊的非本医疗机构的医务人员视为被保险人的医务人员。</w:t>
            </w:r>
          </w:p>
          <w:p w14:paraId="11B090ED">
            <w:pPr>
              <w:rPr>
                <w:rFonts w:hint="eastAsia" w:ascii="宋体" w:hAnsi="宋体" w:cs="宋体"/>
                <w:color w:val="auto"/>
                <w:highlight w:val="none"/>
                <w:lang w:val="en-US" w:eastAsia="zh-CN"/>
              </w:rPr>
            </w:pPr>
          </w:p>
          <w:p w14:paraId="10E8271F">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7.7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41C1F8B8">
            <w:pPr>
              <w:rPr>
                <w:rFonts w:hint="eastAsia" w:ascii="宋体" w:hAnsi="宋体" w:cs="宋体"/>
                <w:color w:val="auto"/>
                <w:highlight w:val="none"/>
                <w:lang w:val="en-US" w:eastAsia="zh-CN"/>
              </w:rPr>
            </w:pPr>
          </w:p>
          <w:p w14:paraId="0E2D1BAF">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7.8被保险人聘用的医务人员，在注册或变更注册期间或根据卫生行政部门规定及要求到指定区域范围内从事诊疗活动发生的保险事故，属于保险责任范围。</w:t>
            </w:r>
          </w:p>
          <w:p w14:paraId="4A431F88">
            <w:pPr>
              <w:rPr>
                <w:rFonts w:hint="eastAsia" w:ascii="宋体" w:hAnsi="宋体" w:cs="宋体"/>
                <w:color w:val="auto"/>
                <w:highlight w:val="none"/>
                <w:lang w:val="en-US" w:eastAsia="zh-CN"/>
              </w:rPr>
            </w:pPr>
          </w:p>
          <w:p w14:paraId="129E72F2">
            <w:pPr>
              <w:rPr>
                <w:rFonts w:hint="default" w:ascii="宋体" w:hAnsi="宋体" w:cs="宋体"/>
                <w:color w:val="auto"/>
                <w:highlight w:val="none"/>
                <w:lang w:val="en-US" w:eastAsia="zh-CN"/>
              </w:rPr>
            </w:pPr>
            <w:r>
              <w:rPr>
                <w:rFonts w:hint="eastAsia" w:ascii="宋体" w:hAnsi="宋体" w:cs="宋体"/>
                <w:color w:val="auto"/>
                <w:highlight w:val="none"/>
                <w:lang w:val="en-US" w:eastAsia="zh-CN"/>
              </w:rPr>
              <w:t>7.9被保险人因医疗纠纷处理（包含自行和解和人民调解）过程中，为了查明医疗纠纷原因和损失产生的鉴定费以及其他必要的、合理的费用，保险人按本保险合同约定的法律费用限额内负责赔偿。医疗纠纷是指医患双方因诊疗活动引发的争议。</w:t>
            </w:r>
          </w:p>
          <w:p w14:paraId="1070CDB6">
            <w:pPr>
              <w:rPr>
                <w:rFonts w:hint="eastAsia" w:ascii="宋体" w:hAnsi="宋体" w:cs="宋体"/>
                <w:color w:val="auto"/>
                <w:highlight w:val="none"/>
              </w:rPr>
            </w:pPr>
          </w:p>
          <w:p w14:paraId="57735441">
            <w:pPr>
              <w:rPr>
                <w:rFonts w:hint="eastAsia" w:ascii="宋体" w:hAnsi="宋体" w:cs="宋体"/>
                <w:color w:val="auto"/>
                <w:highlight w:val="none"/>
              </w:rPr>
            </w:pPr>
            <w:r>
              <w:rPr>
                <w:rFonts w:hint="eastAsia" w:ascii="宋体" w:hAnsi="宋体" w:cs="宋体"/>
                <w:color w:val="auto"/>
                <w:highlight w:val="none"/>
                <w:lang w:val="en-US" w:eastAsia="zh-CN"/>
              </w:rPr>
              <w:t>7.10</w:t>
            </w:r>
            <w:r>
              <w:rPr>
                <w:rFonts w:hint="eastAsia" w:ascii="宋体" w:hAnsi="宋体" w:cs="宋体"/>
                <w:color w:val="auto"/>
                <w:highlight w:val="none"/>
              </w:rPr>
              <w:t>被保险人向保险人请求赔偿保险金的诉讼时效自被保险人对第三者应负的赔偿责任确定之日起计算。</w:t>
            </w:r>
          </w:p>
          <w:p w14:paraId="75656991">
            <w:pPr>
              <w:rPr>
                <w:rFonts w:hint="eastAsia" w:ascii="宋体" w:hAnsi="宋体" w:cs="宋体"/>
                <w:color w:val="auto"/>
                <w:highlight w:val="none"/>
                <w:lang w:val="en-US" w:eastAsia="zh-CN"/>
              </w:rPr>
            </w:pPr>
          </w:p>
          <w:p w14:paraId="6D13C9C8">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7.11本保险合同约定的医患纠纷人民调解委员会指广东和谐医患纠纷人民调解委员会及各地市医患纠纷人民调解委员会。</w:t>
            </w:r>
          </w:p>
          <w:p w14:paraId="71FA2439">
            <w:pPr>
              <w:rPr>
                <w:rFonts w:hint="eastAsia" w:ascii="宋体" w:hAnsi="宋体" w:cs="宋体"/>
                <w:color w:val="auto"/>
                <w:highlight w:val="none"/>
                <w:lang w:val="en-US" w:eastAsia="zh-CN"/>
              </w:rPr>
            </w:pPr>
          </w:p>
          <w:p w14:paraId="03CFFF48">
            <w:pPr>
              <w:rPr>
                <w:rFonts w:hint="default" w:ascii="宋体" w:hAnsi="宋体" w:cs="宋体"/>
                <w:color w:val="auto"/>
                <w:highlight w:val="none"/>
                <w:lang w:val="en-US" w:eastAsia="zh-CN"/>
              </w:rPr>
            </w:pPr>
            <w:r>
              <w:rPr>
                <w:rFonts w:hint="eastAsia" w:ascii="宋体" w:hAnsi="宋体" w:cs="宋体"/>
                <w:color w:val="auto"/>
                <w:highlight w:val="none"/>
                <w:lang w:val="en-US" w:eastAsia="zh-CN"/>
              </w:rPr>
              <w:t>7.12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14:paraId="114FD2AF">
            <w:pPr>
              <w:rPr>
                <w:rFonts w:hint="eastAsia" w:ascii="宋体" w:hAnsi="宋体" w:cs="宋体"/>
                <w:color w:val="auto"/>
                <w:highlight w:val="none"/>
                <w:lang w:val="en-US" w:eastAsia="zh-CN"/>
              </w:rPr>
            </w:pPr>
          </w:p>
          <w:p w14:paraId="32F54597">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7.13确定患方首次向被保险人提出损害赔偿请求的时间规则：</w:t>
            </w:r>
          </w:p>
          <w:p w14:paraId="56D110FE">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（1）患者接受诊疗活动导致人身损害的时间、患方首次投诉时间和医疗机构报案时间在同一保险期间内的案件，以医疗机构报案时填写的时间为准。</w:t>
            </w:r>
          </w:p>
          <w:p w14:paraId="306AEE69">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t>（2）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的书面材料。</w:t>
            </w:r>
          </w:p>
          <w:p w14:paraId="0E031F05">
            <w:pPr>
              <w:rPr>
                <w:rFonts w:hint="eastAsia" w:ascii="宋体" w:hAnsi="宋体" w:cs="宋体"/>
                <w:b/>
                <w:color w:val="auto"/>
                <w:highlight w:val="yellow"/>
              </w:rPr>
            </w:pPr>
          </w:p>
        </w:tc>
      </w:tr>
      <w:tr w14:paraId="7AFD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3966B9E0">
            <w:pPr>
              <w:tabs>
                <w:tab w:val="left" w:pos="1620"/>
              </w:tabs>
              <w:rPr>
                <w:rFonts w:ascii="宋体" w:hAnsi="Calibri" w:cs="宋体"/>
                <w:color w:val="auto"/>
              </w:rPr>
            </w:pPr>
            <w:r>
              <w:rPr>
                <w:sz w:val="21"/>
              </w:rPr>
              <w:t>▲</w:t>
            </w:r>
            <w:r>
              <w:rPr>
                <w:rFonts w:hint="eastAsia" w:ascii="宋体" w:hAnsi="宋体" w:cs="宋体"/>
                <w:color w:val="auto"/>
                <w:lang w:val="en-US" w:eastAsia="zh-CN"/>
              </w:rPr>
              <w:t>6</w:t>
            </w:r>
            <w:r>
              <w:rPr>
                <w:rFonts w:hint="eastAsia" w:ascii="宋体" w:hAnsi="宋体" w:cs="宋体"/>
                <w:color w:val="auto"/>
              </w:rPr>
              <w:t>.追溯期</w:t>
            </w:r>
          </w:p>
        </w:tc>
        <w:tc>
          <w:tcPr>
            <w:tcW w:w="6849" w:type="dxa"/>
            <w:tcBorders>
              <w:top w:val="single" w:color="auto" w:sz="4" w:space="0"/>
              <w:left w:val="single" w:color="auto" w:sz="4" w:space="0"/>
              <w:bottom w:val="single" w:color="auto" w:sz="4" w:space="0"/>
              <w:right w:val="single" w:color="auto" w:sz="4" w:space="0"/>
            </w:tcBorders>
            <w:noWrap w:val="0"/>
            <w:vAlign w:val="top"/>
          </w:tcPr>
          <w:p w14:paraId="2AB5D3E9">
            <w:pPr>
              <w:autoSpaceDE w:val="0"/>
              <w:autoSpaceDN w:val="0"/>
              <w:adjustRightInd w:val="0"/>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期内索赔制，首年投保无追溯期。</w:t>
            </w:r>
          </w:p>
          <w:p w14:paraId="1157AAE4">
            <w:pPr>
              <w:autoSpaceDE w:val="0"/>
              <w:autoSpaceDN w:val="0"/>
              <w:adjustRightInd w:val="0"/>
              <w:rPr>
                <w:rFonts w:ascii="宋体" w:cs="宋体"/>
                <w:color w:val="auto"/>
                <w:sz w:val="21"/>
                <w:szCs w:val="21"/>
                <w:highlight w:val="none"/>
              </w:rPr>
            </w:pPr>
            <w:r>
              <w:rPr>
                <w:rFonts w:hint="eastAsia" w:ascii="宋体" w:hAnsi="宋体" w:cs="宋体"/>
                <w:color w:val="auto"/>
                <w:sz w:val="21"/>
                <w:szCs w:val="21"/>
                <w:highlight w:val="none"/>
              </w:rPr>
              <w:t>连续投保追溯期设定：</w:t>
            </w:r>
          </w:p>
          <w:p w14:paraId="3F586A02">
            <w:pPr>
              <w:autoSpaceDE w:val="0"/>
              <w:autoSpaceDN w:val="0"/>
              <w:adjustRightInd w:val="0"/>
              <w:rPr>
                <w:rFonts w:hint="eastAsia" w:ascii="宋体" w:cs="宋体" w:eastAsiaTheme="minorEastAsia"/>
                <w:color w:val="auto"/>
                <w:sz w:val="21"/>
                <w:szCs w:val="21"/>
                <w:highlight w:val="none"/>
                <w:lang w:val="en-US" w:eastAsia="zh-CN"/>
              </w:rPr>
            </w:pPr>
            <w:r>
              <w:rPr>
                <w:rFonts w:hint="eastAsia" w:ascii="宋体" w:hAnsi="宋体" w:cs="宋体"/>
                <w:color w:val="auto"/>
                <w:sz w:val="21"/>
                <w:szCs w:val="21"/>
                <w:highlight w:val="none"/>
              </w:rPr>
              <w:t>连续投保，本保险追溯期从首次投保合同生效之日起算，最长不超过三年。</w:t>
            </w:r>
          </w:p>
        </w:tc>
      </w:tr>
      <w:tr w14:paraId="62F4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307A85F8">
            <w:pPr>
              <w:tabs>
                <w:tab w:val="left" w:pos="1620"/>
              </w:tabs>
              <w:rPr>
                <w:rFonts w:ascii="宋体" w:hAnsi="Calibri" w:cs="宋体"/>
                <w:color w:val="auto"/>
              </w:rPr>
            </w:pPr>
            <w:bookmarkStart w:id="2" w:name="OLE_LINK1" w:colFirst="0" w:colLast="1"/>
            <w:r>
              <w:rPr>
                <w:sz w:val="21"/>
              </w:rPr>
              <w:t>▲</w:t>
            </w:r>
            <w:r>
              <w:rPr>
                <w:rFonts w:hint="eastAsia" w:ascii="宋体" w:hAnsi="宋体" w:cs="宋体"/>
                <w:color w:val="auto"/>
                <w:lang w:val="en-US" w:eastAsia="zh-CN"/>
              </w:rPr>
              <w:t>7</w:t>
            </w:r>
            <w:r>
              <w:rPr>
                <w:rFonts w:hint="eastAsia" w:ascii="宋体" w:hAnsi="宋体" w:cs="宋体"/>
                <w:color w:val="auto"/>
              </w:rPr>
              <w:t>.赔偿处理</w:t>
            </w:r>
          </w:p>
        </w:tc>
        <w:tc>
          <w:tcPr>
            <w:tcW w:w="6849" w:type="dxa"/>
            <w:tcBorders>
              <w:top w:val="single" w:color="auto" w:sz="4" w:space="0"/>
              <w:left w:val="single" w:color="auto" w:sz="4" w:space="0"/>
              <w:bottom w:val="single" w:color="auto" w:sz="4" w:space="0"/>
              <w:right w:val="single" w:color="auto" w:sz="4" w:space="0"/>
            </w:tcBorders>
            <w:noWrap w:val="0"/>
            <w:vAlign w:val="top"/>
          </w:tcPr>
          <w:p w14:paraId="0F15F9FE">
            <w:pPr>
              <w:autoSpaceDE w:val="0"/>
              <w:autoSpaceDN w:val="0"/>
              <w:adjustRightInd w:val="0"/>
              <w:rPr>
                <w:rFonts w:ascii="宋体" w:cs="宋体"/>
                <w:color w:val="auto"/>
                <w:highlight w:val="none"/>
              </w:rPr>
            </w:pPr>
            <w:r>
              <w:rPr>
                <w:rFonts w:hint="eastAsia" w:ascii="宋体" w:hAnsi="宋体" w:cs="宋体"/>
                <w:b/>
                <w:bCs/>
                <w:color w:val="auto"/>
                <w:highlight w:val="none"/>
              </w:rPr>
              <w:t>依据</w:t>
            </w:r>
            <w:r>
              <w:rPr>
                <w:rFonts w:hint="eastAsia" w:ascii="宋体" w:hAnsi="宋体" w:cs="宋体"/>
                <w:b/>
                <w:color w:val="auto"/>
                <w:highlight w:val="none"/>
              </w:rPr>
              <w:t>附</w:t>
            </w:r>
            <w:r>
              <w:rPr>
                <w:rFonts w:hint="eastAsia" w:ascii="宋体" w:hAnsi="宋体" w:cs="宋体"/>
                <w:b/>
                <w:bCs/>
                <w:color w:val="auto"/>
                <w:highlight w:val="none"/>
              </w:rPr>
              <w:t>件</w:t>
            </w:r>
            <w:r>
              <w:rPr>
                <w:rFonts w:hint="eastAsia" w:ascii="微软雅黑" w:hAnsi="微软雅黑" w:eastAsia="微软雅黑" w:cs="微软雅黑"/>
                <w:b/>
                <w:bCs/>
                <w:color w:val="auto"/>
                <w:highlight w:val="none"/>
              </w:rPr>
              <w:t>Ⅱ</w:t>
            </w:r>
            <w:r>
              <w:rPr>
                <w:rFonts w:hint="eastAsia" w:ascii="宋体" w:hAnsi="宋体" w:cs="宋体"/>
                <w:b/>
                <w:bCs/>
                <w:color w:val="auto"/>
                <w:highlight w:val="none"/>
              </w:rPr>
              <w:t>：《广东省医疗责任保险赔偿处理办法</w:t>
            </w:r>
            <w:r>
              <w:rPr>
                <w:rFonts w:hint="eastAsia" w:ascii="宋体" w:hAnsi="宋体" w:cs="宋体"/>
                <w:b/>
                <w:color w:val="auto"/>
                <w:highlight w:val="none"/>
              </w:rPr>
              <w:t>》</w:t>
            </w:r>
            <w:r>
              <w:rPr>
                <w:rFonts w:hint="eastAsia" w:ascii="宋体" w:hAnsi="宋体" w:cs="宋体"/>
                <w:color w:val="auto"/>
                <w:highlight w:val="none"/>
              </w:rPr>
              <w:t>、</w:t>
            </w:r>
            <w:r>
              <w:rPr>
                <w:rFonts w:hint="eastAsia" w:ascii="宋体" w:hAnsi="宋体" w:cs="宋体"/>
                <w:b/>
                <w:color w:val="auto"/>
                <w:highlight w:val="none"/>
              </w:rPr>
              <w:t>附件</w:t>
            </w:r>
            <w:r>
              <w:rPr>
                <w:rFonts w:hint="eastAsia" w:ascii="宋体" w:hAnsi="宋体" w:cs="宋体"/>
                <w:b/>
                <w:bCs/>
                <w:color w:val="auto"/>
                <w:highlight w:val="none"/>
              </w:rPr>
              <w:t>Ⅲ</w:t>
            </w:r>
            <w:r>
              <w:rPr>
                <w:rFonts w:hint="eastAsia" w:ascii="宋体" w:hAnsi="宋体" w:cs="宋体"/>
                <w:b/>
                <w:color w:val="auto"/>
                <w:highlight w:val="none"/>
              </w:rPr>
              <w:t>：《保险索赔、理赔处理程序预案》</w:t>
            </w:r>
          </w:p>
        </w:tc>
      </w:tr>
      <w:tr w14:paraId="5EF2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594C3FBB">
            <w:pPr>
              <w:tabs>
                <w:tab w:val="left" w:pos="1620"/>
              </w:tabs>
              <w:rPr>
                <w:rFonts w:ascii="宋体" w:hAnsi="Calibri" w:cs="宋体"/>
                <w:color w:val="auto"/>
              </w:rPr>
            </w:pPr>
            <w:r>
              <w:rPr>
                <w:sz w:val="21"/>
              </w:rPr>
              <w:t>▲</w:t>
            </w:r>
            <w:r>
              <w:rPr>
                <w:rFonts w:hint="eastAsia" w:ascii="宋体" w:hAnsi="宋体" w:cs="宋体"/>
                <w:color w:val="auto"/>
                <w:lang w:val="en-US" w:eastAsia="zh-CN"/>
              </w:rPr>
              <w:t>8</w:t>
            </w:r>
            <w:r>
              <w:rPr>
                <w:rFonts w:hint="eastAsia" w:ascii="宋体" w:hAnsi="宋体" w:cs="宋体"/>
                <w:color w:val="auto"/>
              </w:rPr>
              <w:t>.司法管辖</w:t>
            </w:r>
          </w:p>
        </w:tc>
        <w:tc>
          <w:tcPr>
            <w:tcW w:w="6849" w:type="dxa"/>
            <w:tcBorders>
              <w:top w:val="single" w:color="auto" w:sz="4" w:space="0"/>
              <w:left w:val="single" w:color="auto" w:sz="4" w:space="0"/>
              <w:bottom w:val="single" w:color="auto" w:sz="4" w:space="0"/>
              <w:right w:val="single" w:color="auto" w:sz="4" w:space="0"/>
            </w:tcBorders>
            <w:noWrap w:val="0"/>
            <w:vAlign w:val="center"/>
          </w:tcPr>
          <w:p w14:paraId="76FB3931">
            <w:pPr>
              <w:autoSpaceDE w:val="0"/>
              <w:autoSpaceDN w:val="0"/>
              <w:adjustRightInd w:val="0"/>
              <w:rPr>
                <w:rFonts w:hint="eastAsia" w:ascii="宋体" w:hAnsi="宋体" w:cs="宋体"/>
                <w:color w:val="auto"/>
                <w:highlight w:val="none"/>
              </w:rPr>
            </w:pPr>
            <w:r>
              <w:rPr>
                <w:rFonts w:hint="eastAsia" w:ascii="宋体" w:hAnsi="宋体" w:cs="宋体"/>
                <w:color w:val="auto"/>
                <w:highlight w:val="none"/>
              </w:rPr>
              <w:t>中华人民共和国司法管辖（不含港、澳、台地区）</w:t>
            </w:r>
          </w:p>
        </w:tc>
      </w:tr>
      <w:bookmarkEnd w:id="2"/>
    </w:tbl>
    <w:p w14:paraId="3CE71939">
      <w:pPr>
        <w:tabs>
          <w:tab w:val="left" w:pos="1145"/>
        </w:tabs>
        <w:spacing w:line="360" w:lineRule="auto"/>
        <w:ind w:firstLine="422" w:firstLineChars="200"/>
        <w:rPr>
          <w:rFonts w:hint="eastAsia" w:ascii="宋体" w:hAnsi="宋体"/>
          <w:b/>
          <w:color w:val="auto"/>
          <w:u w:val="single"/>
        </w:rPr>
      </w:pPr>
      <w:r>
        <w:rPr>
          <w:rFonts w:hint="eastAsia" w:ascii="宋体" w:hAnsi="宋体"/>
          <w:b/>
          <w:color w:val="auto"/>
          <w:u w:val="single"/>
          <w:lang w:val="en-US" w:eastAsia="zh-CN"/>
        </w:rPr>
        <w:t>1.3</w:t>
      </w:r>
      <w:r>
        <w:rPr>
          <w:rFonts w:hint="eastAsia" w:ascii="宋体" w:hAnsi="宋体"/>
          <w:b/>
          <w:color w:val="auto"/>
          <w:u w:val="single"/>
        </w:rPr>
        <w:t>商务要求</w:t>
      </w:r>
    </w:p>
    <w:tbl>
      <w:tblPr>
        <w:tblStyle w:val="34"/>
        <w:tblW w:w="83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9"/>
        <w:gridCol w:w="751"/>
        <w:gridCol w:w="1915"/>
        <w:gridCol w:w="5137"/>
      </w:tblGrid>
      <w:tr w14:paraId="3F8D6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trPr>
        <w:tc>
          <w:tcPr>
            <w:tcW w:w="539" w:type="dxa"/>
            <w:textDirection w:val="tbRlV"/>
            <w:vAlign w:val="top"/>
          </w:tcPr>
          <w:p w14:paraId="19F1A7CC">
            <w:pPr>
              <w:pStyle w:val="33"/>
              <w:spacing w:before="168" w:line="216" w:lineRule="auto"/>
              <w:ind w:left="89"/>
            </w:pPr>
            <w:r>
              <w:rPr>
                <w:spacing w:val="1"/>
              </w:rPr>
              <w:t>序  号</w:t>
            </w:r>
          </w:p>
        </w:tc>
        <w:tc>
          <w:tcPr>
            <w:tcW w:w="751" w:type="dxa"/>
            <w:vAlign w:val="top"/>
          </w:tcPr>
          <w:p w14:paraId="05BF7303">
            <w:pPr>
              <w:pStyle w:val="33"/>
              <w:spacing w:before="89" w:line="221" w:lineRule="auto"/>
              <w:ind w:left="174"/>
            </w:pPr>
            <w:r>
              <w:rPr>
                <w:spacing w:val="-4"/>
              </w:rPr>
              <w:t>符号</w:t>
            </w:r>
          </w:p>
          <w:p w14:paraId="3CFF8117">
            <w:pPr>
              <w:pStyle w:val="33"/>
              <w:spacing w:before="156" w:line="222" w:lineRule="auto"/>
              <w:ind w:left="173"/>
            </w:pPr>
            <w:r>
              <w:rPr>
                <w:spacing w:val="-3"/>
              </w:rPr>
              <w:t>标识</w:t>
            </w:r>
          </w:p>
        </w:tc>
        <w:tc>
          <w:tcPr>
            <w:tcW w:w="1915" w:type="dxa"/>
            <w:vAlign w:val="center"/>
          </w:tcPr>
          <w:p w14:paraId="77DD44EA">
            <w:pPr>
              <w:pStyle w:val="33"/>
              <w:spacing w:before="281" w:line="221" w:lineRule="auto"/>
              <w:ind w:left="0"/>
              <w:jc w:val="center"/>
            </w:pPr>
            <w:r>
              <w:rPr>
                <w:spacing w:val="-1"/>
              </w:rPr>
              <w:t>商务要求名称</w:t>
            </w:r>
          </w:p>
        </w:tc>
        <w:tc>
          <w:tcPr>
            <w:tcW w:w="5137" w:type="dxa"/>
            <w:vAlign w:val="center"/>
          </w:tcPr>
          <w:p w14:paraId="48F9D58C">
            <w:pPr>
              <w:pStyle w:val="33"/>
              <w:spacing w:before="281" w:line="221" w:lineRule="auto"/>
              <w:ind w:left="0"/>
              <w:jc w:val="center"/>
            </w:pPr>
            <w:r>
              <w:rPr>
                <w:spacing w:val="-1"/>
              </w:rPr>
              <w:t>商务要求内容</w:t>
            </w:r>
          </w:p>
        </w:tc>
      </w:tr>
      <w:tr w14:paraId="126E3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3224E546">
            <w:pPr>
              <w:spacing w:before="108" w:line="180" w:lineRule="auto"/>
              <w:ind w:left="221"/>
              <w:rPr>
                <w:rFonts w:ascii="Segoe UI Symbol" w:hAnsi="Segoe UI Symbol" w:eastAsia="Segoe UI Symbol" w:cs="Segoe UI Symbol"/>
                <w:sz w:val="19"/>
                <w:szCs w:val="19"/>
              </w:rPr>
            </w:pPr>
            <w:r>
              <w:rPr>
                <w:rFonts w:ascii="Segoe UI Symbol" w:hAnsi="Segoe UI Symbol" w:eastAsia="Segoe UI Symbol" w:cs="Segoe UI Symbol"/>
                <w:sz w:val="19"/>
                <w:szCs w:val="19"/>
              </w:rPr>
              <w:t>1</w:t>
            </w:r>
          </w:p>
        </w:tc>
        <w:tc>
          <w:tcPr>
            <w:tcW w:w="751" w:type="dxa"/>
            <w:vAlign w:val="top"/>
          </w:tcPr>
          <w:p w14:paraId="1D4C9D5F">
            <w:pPr>
              <w:spacing w:before="109" w:line="180" w:lineRule="auto"/>
              <w:ind w:left="291"/>
              <w:rPr>
                <w:rFonts w:hint="default" w:ascii="Segoe UI Symbol" w:hAnsi="Segoe UI Symbol" w:eastAsia="宋体" w:cs="Segoe UI Symbol"/>
                <w:sz w:val="19"/>
                <w:szCs w:val="19"/>
                <w:lang w:val="en-US" w:eastAsia="zh-CN"/>
              </w:rPr>
            </w:pPr>
            <w:r>
              <w:rPr>
                <w:sz w:val="21"/>
              </w:rPr>
              <w:t>▲</w:t>
            </w:r>
          </w:p>
        </w:tc>
        <w:tc>
          <w:tcPr>
            <w:tcW w:w="1915" w:type="dxa"/>
            <w:vAlign w:val="center"/>
          </w:tcPr>
          <w:p w14:paraId="7EBE2C11">
            <w:pPr>
              <w:pStyle w:val="33"/>
              <w:spacing w:before="85" w:line="221" w:lineRule="auto"/>
              <w:ind w:left="0"/>
              <w:jc w:val="center"/>
            </w:pPr>
            <w:r>
              <w:rPr>
                <w:spacing w:val="-1"/>
              </w:rPr>
              <w:t>服务期限</w:t>
            </w:r>
          </w:p>
        </w:tc>
        <w:tc>
          <w:tcPr>
            <w:tcW w:w="5137" w:type="dxa"/>
            <w:vAlign w:val="center"/>
          </w:tcPr>
          <w:p w14:paraId="22C273AA">
            <w:pPr>
              <w:pStyle w:val="33"/>
              <w:spacing w:before="85" w:line="210" w:lineRule="auto"/>
              <w:ind w:left="0"/>
              <w:jc w:val="left"/>
            </w:pPr>
            <w:r>
              <w:rPr>
                <w:spacing w:val="2"/>
              </w:rPr>
              <w:t>自合同签订之日起</w:t>
            </w:r>
            <w:r>
              <w:rPr>
                <w:rFonts w:ascii="Segoe UI Symbol" w:hAnsi="Segoe UI Symbol" w:eastAsia="Segoe UI Symbol" w:cs="Segoe UI Symbol"/>
                <w:spacing w:val="2"/>
              </w:rPr>
              <w:t>365</w:t>
            </w:r>
            <w:r>
              <w:rPr>
                <w:spacing w:val="2"/>
              </w:rPr>
              <w:t>日。</w:t>
            </w:r>
          </w:p>
        </w:tc>
      </w:tr>
      <w:tr w14:paraId="3372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5C80A162">
            <w:pPr>
              <w:spacing w:before="106" w:line="183" w:lineRule="auto"/>
              <w:ind w:left="214"/>
              <w:rPr>
                <w:rFonts w:ascii="Segoe UI Symbol" w:hAnsi="Segoe UI Symbol" w:eastAsia="Segoe UI Symbol" w:cs="Segoe UI Symbol"/>
                <w:sz w:val="19"/>
                <w:szCs w:val="19"/>
              </w:rPr>
            </w:pPr>
            <w:r>
              <w:rPr>
                <w:rFonts w:ascii="Segoe UI Symbol" w:hAnsi="Segoe UI Symbol" w:eastAsia="Segoe UI Symbol" w:cs="Segoe UI Symbol"/>
                <w:spacing w:val="4"/>
                <w:sz w:val="19"/>
                <w:szCs w:val="19"/>
              </w:rPr>
              <w:t>2</w:t>
            </w:r>
          </w:p>
        </w:tc>
        <w:tc>
          <w:tcPr>
            <w:tcW w:w="751" w:type="dxa"/>
            <w:vAlign w:val="top"/>
          </w:tcPr>
          <w:p w14:paraId="03C9B4F4">
            <w:pPr>
              <w:spacing w:before="110" w:line="180" w:lineRule="auto"/>
              <w:ind w:left="291"/>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915" w:type="dxa"/>
            <w:vAlign w:val="center"/>
          </w:tcPr>
          <w:p w14:paraId="6663A2E3">
            <w:pPr>
              <w:pStyle w:val="33"/>
              <w:spacing w:before="86" w:line="221" w:lineRule="auto"/>
              <w:ind w:left="0"/>
              <w:jc w:val="center"/>
            </w:pPr>
            <w:r>
              <w:rPr>
                <w:spacing w:val="-1"/>
              </w:rPr>
              <w:t>服务地点</w:t>
            </w:r>
          </w:p>
        </w:tc>
        <w:tc>
          <w:tcPr>
            <w:tcW w:w="5137" w:type="dxa"/>
            <w:vAlign w:val="center"/>
          </w:tcPr>
          <w:p w14:paraId="028BC4EB">
            <w:pPr>
              <w:pStyle w:val="33"/>
              <w:spacing w:before="86" w:line="221" w:lineRule="auto"/>
              <w:ind w:left="0"/>
              <w:jc w:val="left"/>
            </w:pPr>
            <w:r>
              <w:rPr>
                <w:rFonts w:hint="eastAsia"/>
                <w:lang w:val="en-US" w:eastAsia="zh-CN"/>
              </w:rPr>
              <w:t>广东省生殖</w:t>
            </w:r>
            <w:r>
              <w:t>医院</w:t>
            </w:r>
          </w:p>
        </w:tc>
      </w:tr>
      <w:tr w14:paraId="11C3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539" w:type="dxa"/>
            <w:vAlign w:val="top"/>
          </w:tcPr>
          <w:p w14:paraId="0022BCD2">
            <w:pPr>
              <w:spacing w:line="426" w:lineRule="auto"/>
              <w:rPr>
                <w:rFonts w:ascii="Arial"/>
                <w:sz w:val="21"/>
              </w:rPr>
            </w:pPr>
          </w:p>
          <w:p w14:paraId="2B16F874">
            <w:pPr>
              <w:spacing w:before="63" w:line="183" w:lineRule="auto"/>
              <w:ind w:left="214"/>
              <w:rPr>
                <w:rFonts w:ascii="Segoe UI Symbol" w:hAnsi="Segoe UI Symbol" w:eastAsia="Segoe UI Symbol" w:cs="Segoe UI Symbol"/>
                <w:sz w:val="19"/>
                <w:szCs w:val="19"/>
              </w:rPr>
            </w:pPr>
            <w:r>
              <w:rPr>
                <w:rFonts w:ascii="Segoe UI Symbol" w:hAnsi="Segoe UI Symbol" w:eastAsia="Segoe UI Symbol" w:cs="Segoe UI Symbol"/>
                <w:spacing w:val="4"/>
                <w:sz w:val="19"/>
                <w:szCs w:val="19"/>
              </w:rPr>
              <w:t>3</w:t>
            </w:r>
          </w:p>
        </w:tc>
        <w:tc>
          <w:tcPr>
            <w:tcW w:w="751" w:type="dxa"/>
            <w:vAlign w:val="top"/>
          </w:tcPr>
          <w:p w14:paraId="5C8D93CD">
            <w:pPr>
              <w:spacing w:line="429" w:lineRule="auto"/>
              <w:rPr>
                <w:rFonts w:ascii="Arial"/>
                <w:sz w:val="21"/>
              </w:rPr>
            </w:pPr>
          </w:p>
          <w:p w14:paraId="450AD01D">
            <w:pPr>
              <w:spacing w:before="63" w:line="180" w:lineRule="auto"/>
              <w:ind w:left="291"/>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915" w:type="dxa"/>
            <w:vAlign w:val="center"/>
          </w:tcPr>
          <w:p w14:paraId="5DE4C3DC">
            <w:pPr>
              <w:pStyle w:val="33"/>
              <w:spacing w:before="279" w:line="376" w:lineRule="auto"/>
              <w:ind w:left="0" w:right="255" w:firstLine="0"/>
              <w:jc w:val="center"/>
            </w:pPr>
            <w:r>
              <w:rPr>
                <w:spacing w:val="1"/>
              </w:rPr>
              <w:t>验收、交付标准和</w:t>
            </w:r>
            <w:r>
              <w:rPr>
                <w:spacing w:val="-3"/>
              </w:rPr>
              <w:t>方法</w:t>
            </w:r>
          </w:p>
        </w:tc>
        <w:tc>
          <w:tcPr>
            <w:tcW w:w="5137" w:type="dxa"/>
            <w:vAlign w:val="center"/>
          </w:tcPr>
          <w:p w14:paraId="0F364480">
            <w:pPr>
              <w:pStyle w:val="33"/>
              <w:spacing w:before="89" w:line="336" w:lineRule="auto"/>
              <w:ind w:left="102" w:right="170"/>
              <w:jc w:val="left"/>
            </w:pPr>
            <w:r>
              <w:rPr>
                <w:spacing w:val="2"/>
              </w:rPr>
              <w:t>采购人将依据采购文件要求、成交供应商响应文件、采购合同约定</w:t>
            </w:r>
            <w:r>
              <w:rPr>
                <w:spacing w:val="1"/>
              </w:rPr>
              <w:t>条款和国家、行业</w:t>
            </w:r>
            <w:r>
              <w:rPr>
                <w:spacing w:val="2"/>
              </w:rPr>
              <w:t>相关标准、政府采购相关法律法规以及《财政部关于进一步加强政</w:t>
            </w:r>
            <w:r>
              <w:rPr>
                <w:spacing w:val="1"/>
              </w:rPr>
              <w:t>府采购需求和履约</w:t>
            </w:r>
            <w:r>
              <w:rPr>
                <w:spacing w:val="5"/>
              </w:rPr>
              <w:t>验收管理的指导意见》（国家</w:t>
            </w:r>
            <w:r>
              <w:rPr>
                <w:rFonts w:hint="eastAsia"/>
                <w:spacing w:val="5"/>
                <w:lang w:eastAsia="zh-CN"/>
              </w:rPr>
              <w:t>－</w:t>
            </w:r>
            <w:r>
              <w:rPr>
                <w:spacing w:val="5"/>
              </w:rPr>
              <w:t>财库〔</w:t>
            </w:r>
            <w:r>
              <w:rPr>
                <w:rFonts w:ascii="Segoe UI Symbol" w:hAnsi="Segoe UI Symbol" w:eastAsia="Segoe UI Symbol" w:cs="Segoe UI Symbol"/>
                <w:spacing w:val="5"/>
              </w:rPr>
              <w:t>2016</w:t>
            </w:r>
            <w:r>
              <w:rPr>
                <w:spacing w:val="5"/>
              </w:rPr>
              <w:t>〕</w:t>
            </w:r>
            <w:r>
              <w:rPr>
                <w:rFonts w:ascii="Segoe UI Symbol" w:hAnsi="Segoe UI Symbol" w:eastAsia="Segoe UI Symbol" w:cs="Segoe UI Symbol"/>
                <w:spacing w:val="5"/>
              </w:rPr>
              <w:t>205</w:t>
            </w:r>
            <w:r>
              <w:rPr>
                <w:spacing w:val="5"/>
              </w:rPr>
              <w:t>号）的要求进行验收。</w:t>
            </w:r>
          </w:p>
        </w:tc>
      </w:tr>
      <w:tr w14:paraId="562F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630C92EE">
            <w:pPr>
              <w:spacing w:before="112" w:line="180" w:lineRule="auto"/>
              <w:ind w:left="209"/>
              <w:rPr>
                <w:rFonts w:ascii="Segoe UI Symbol" w:hAnsi="Segoe UI Symbol" w:eastAsia="Segoe UI Symbol" w:cs="Segoe UI Symbol"/>
                <w:sz w:val="19"/>
                <w:szCs w:val="19"/>
              </w:rPr>
            </w:pPr>
            <w:r>
              <w:rPr>
                <w:rFonts w:ascii="Segoe UI Symbol" w:hAnsi="Segoe UI Symbol" w:eastAsia="Segoe UI Symbol" w:cs="Segoe UI Symbol"/>
                <w:spacing w:val="9"/>
                <w:sz w:val="19"/>
                <w:szCs w:val="19"/>
              </w:rPr>
              <w:t>4</w:t>
            </w:r>
          </w:p>
        </w:tc>
        <w:tc>
          <w:tcPr>
            <w:tcW w:w="751" w:type="dxa"/>
            <w:vAlign w:val="top"/>
          </w:tcPr>
          <w:p w14:paraId="622D6D46">
            <w:pPr>
              <w:spacing w:before="113" w:line="180" w:lineRule="auto"/>
              <w:ind w:left="291"/>
              <w:rPr>
                <w:rFonts w:hint="default" w:ascii="Segoe UI Symbol" w:hAnsi="Segoe UI Symbol" w:eastAsia="宋体" w:cs="Segoe UI Symbol"/>
                <w:sz w:val="19"/>
                <w:szCs w:val="19"/>
                <w:lang w:val="en-US" w:eastAsia="zh-CN"/>
              </w:rPr>
            </w:pPr>
            <w:r>
              <w:rPr>
                <w:sz w:val="21"/>
              </w:rPr>
              <w:t>▲</w:t>
            </w:r>
          </w:p>
        </w:tc>
        <w:tc>
          <w:tcPr>
            <w:tcW w:w="1915" w:type="dxa"/>
            <w:vAlign w:val="center"/>
          </w:tcPr>
          <w:p w14:paraId="10BCF5BB">
            <w:pPr>
              <w:pStyle w:val="33"/>
              <w:spacing w:before="90" w:line="221" w:lineRule="auto"/>
              <w:ind w:left="0"/>
              <w:jc w:val="center"/>
            </w:pPr>
            <w:r>
              <w:rPr>
                <w:spacing w:val="-1"/>
              </w:rPr>
              <w:t>支付方式</w:t>
            </w:r>
          </w:p>
        </w:tc>
        <w:tc>
          <w:tcPr>
            <w:tcW w:w="5137" w:type="dxa"/>
            <w:vAlign w:val="center"/>
          </w:tcPr>
          <w:p w14:paraId="10305A92">
            <w:pPr>
              <w:pStyle w:val="33"/>
              <w:spacing w:before="90" w:line="221" w:lineRule="auto"/>
              <w:ind w:left="106"/>
              <w:jc w:val="left"/>
            </w:pPr>
            <w:r>
              <w:rPr>
                <w:spacing w:val="-1"/>
              </w:rPr>
              <w:t>一次付清</w:t>
            </w:r>
          </w:p>
        </w:tc>
      </w:tr>
      <w:tr w14:paraId="2D51B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39" w:type="dxa"/>
            <w:vAlign w:val="top"/>
          </w:tcPr>
          <w:p w14:paraId="2ACFC6A9">
            <w:pPr>
              <w:rPr>
                <w:rFonts w:ascii="Arial"/>
                <w:sz w:val="21"/>
              </w:rPr>
            </w:pPr>
          </w:p>
          <w:p w14:paraId="71E46A85">
            <w:pPr>
              <w:spacing w:before="63" w:line="181" w:lineRule="auto"/>
              <w:ind w:left="214"/>
              <w:rPr>
                <w:rFonts w:ascii="Segoe UI Symbol" w:hAnsi="Segoe UI Symbol" w:eastAsia="Segoe UI Symbol" w:cs="Segoe UI Symbol"/>
                <w:sz w:val="19"/>
                <w:szCs w:val="19"/>
              </w:rPr>
            </w:pPr>
            <w:r>
              <w:rPr>
                <w:rFonts w:ascii="Segoe UI Symbol" w:hAnsi="Segoe UI Symbol" w:eastAsia="Segoe UI Symbol" w:cs="Segoe UI Symbol"/>
                <w:spacing w:val="3"/>
                <w:sz w:val="19"/>
                <w:szCs w:val="19"/>
              </w:rPr>
              <w:t>5</w:t>
            </w:r>
          </w:p>
        </w:tc>
        <w:tc>
          <w:tcPr>
            <w:tcW w:w="751" w:type="dxa"/>
            <w:vAlign w:val="top"/>
          </w:tcPr>
          <w:p w14:paraId="52E2A124">
            <w:pPr>
              <w:spacing w:line="242" w:lineRule="auto"/>
              <w:rPr>
                <w:rFonts w:ascii="Arial"/>
                <w:sz w:val="21"/>
              </w:rPr>
            </w:pPr>
          </w:p>
          <w:p w14:paraId="56D12EF4">
            <w:pPr>
              <w:spacing w:before="63" w:line="180" w:lineRule="auto"/>
              <w:ind w:left="291"/>
              <w:rPr>
                <w:rFonts w:hint="eastAsia" w:ascii="Segoe UI Symbol" w:hAnsi="Segoe UI Symbol" w:eastAsia="宋体" w:cs="Segoe UI Symbol"/>
                <w:sz w:val="19"/>
                <w:szCs w:val="19"/>
                <w:lang w:val="en-US" w:eastAsia="zh-CN"/>
              </w:rPr>
            </w:pPr>
            <w:r>
              <w:rPr>
                <w:sz w:val="21"/>
              </w:rPr>
              <w:t>▲</w:t>
            </w:r>
          </w:p>
        </w:tc>
        <w:tc>
          <w:tcPr>
            <w:tcW w:w="1915" w:type="dxa"/>
            <w:vAlign w:val="center"/>
          </w:tcPr>
          <w:p w14:paraId="7E74A9FB">
            <w:pPr>
              <w:pStyle w:val="33"/>
              <w:spacing w:before="283" w:line="221" w:lineRule="auto"/>
              <w:ind w:left="0"/>
              <w:jc w:val="center"/>
            </w:pPr>
            <w:r>
              <w:t>付款进度安排</w:t>
            </w:r>
          </w:p>
        </w:tc>
        <w:tc>
          <w:tcPr>
            <w:tcW w:w="5137" w:type="dxa"/>
            <w:vAlign w:val="center"/>
          </w:tcPr>
          <w:p w14:paraId="779485E0">
            <w:pPr>
              <w:pStyle w:val="33"/>
              <w:spacing w:before="91" w:line="317" w:lineRule="auto"/>
              <w:ind w:left="103" w:right="188" w:firstLine="13"/>
              <w:jc w:val="left"/>
            </w:pPr>
            <w:r>
              <w:rPr>
                <w:spacing w:val="2"/>
              </w:rPr>
              <w:t>合同签订后，达到付款条件起</w:t>
            </w:r>
            <w:r>
              <w:rPr>
                <w:rFonts w:ascii="Segoe UI Symbol" w:hAnsi="Segoe UI Symbol" w:eastAsia="Segoe UI Symbol" w:cs="Segoe UI Symbol"/>
                <w:spacing w:val="2"/>
              </w:rPr>
              <w:t>30</w:t>
            </w:r>
            <w:r>
              <w:rPr>
                <w:spacing w:val="2"/>
              </w:rPr>
              <w:t>日内，据实情况说明为保险合同签订后支</w:t>
            </w:r>
            <w:r>
              <w:t>付</w:t>
            </w:r>
          </w:p>
        </w:tc>
      </w:tr>
      <w:tr w14:paraId="6AB08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539" w:type="dxa"/>
            <w:vAlign w:val="top"/>
          </w:tcPr>
          <w:p w14:paraId="14C8020C">
            <w:pPr>
              <w:spacing w:before="304" w:line="183" w:lineRule="auto"/>
              <w:ind w:left="0" w:firstLine="200" w:firstLineChars="100"/>
              <w:rPr>
                <w:rFonts w:hint="eastAsia" w:ascii="Segoe UI Symbol" w:hAnsi="Segoe UI Symbol" w:eastAsia="宋体" w:cs="Segoe UI Symbol"/>
                <w:spacing w:val="5"/>
                <w:sz w:val="19"/>
                <w:szCs w:val="19"/>
                <w:lang w:val="en-US" w:eastAsia="zh-CN"/>
              </w:rPr>
            </w:pPr>
            <w:r>
              <w:rPr>
                <w:rFonts w:hint="eastAsia" w:ascii="Segoe UI Symbol" w:hAnsi="Segoe UI Symbol" w:eastAsia="宋体" w:cs="Segoe UI Symbol"/>
                <w:spacing w:val="5"/>
                <w:sz w:val="19"/>
                <w:szCs w:val="19"/>
                <w:lang w:val="en-US" w:eastAsia="zh-CN"/>
              </w:rPr>
              <w:t>6</w:t>
            </w:r>
          </w:p>
        </w:tc>
        <w:tc>
          <w:tcPr>
            <w:tcW w:w="751" w:type="dxa"/>
            <w:vAlign w:val="top"/>
          </w:tcPr>
          <w:p w14:paraId="49055E92">
            <w:pPr>
              <w:spacing w:before="63" w:line="180" w:lineRule="auto"/>
              <w:ind w:left="291"/>
              <w:rPr>
                <w:rFonts w:ascii="Segoe UI Symbol" w:hAnsi="Segoe UI Symbol" w:eastAsia="Segoe UI Symbol" w:cs="Segoe UI Symbol"/>
                <w:sz w:val="19"/>
                <w:szCs w:val="19"/>
              </w:rPr>
            </w:pPr>
          </w:p>
          <w:p w14:paraId="3A5D0D07">
            <w:pPr>
              <w:spacing w:before="63" w:line="180" w:lineRule="auto"/>
              <w:ind w:left="291"/>
              <w:rPr>
                <w:rFonts w:ascii="Segoe UI Symbol" w:hAnsi="Segoe UI Symbol" w:eastAsia="Segoe UI Symbol" w:cs="Segoe UI Symbol"/>
                <w:sz w:val="19"/>
                <w:szCs w:val="19"/>
              </w:rPr>
            </w:pPr>
          </w:p>
          <w:p w14:paraId="30CF410C">
            <w:pPr>
              <w:spacing w:before="63" w:line="180" w:lineRule="auto"/>
              <w:ind w:left="291"/>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915" w:type="dxa"/>
            <w:vAlign w:val="center"/>
          </w:tcPr>
          <w:p w14:paraId="39D0241B">
            <w:pPr>
              <w:pStyle w:val="33"/>
              <w:spacing w:before="91" w:line="327" w:lineRule="auto"/>
              <w:ind w:left="0" w:right="255" w:firstLine="0"/>
              <w:jc w:val="center"/>
            </w:pPr>
            <w:r>
              <w:rPr>
                <w:spacing w:val="2"/>
              </w:rPr>
              <w:t>服务团队</w:t>
            </w:r>
          </w:p>
        </w:tc>
        <w:tc>
          <w:tcPr>
            <w:tcW w:w="5137" w:type="dxa"/>
            <w:vAlign w:val="center"/>
          </w:tcPr>
          <w:p w14:paraId="7CA00739">
            <w:pPr>
              <w:pStyle w:val="33"/>
              <w:spacing w:before="284" w:line="221" w:lineRule="auto"/>
              <w:ind w:left="104"/>
              <w:jc w:val="left"/>
            </w:pPr>
            <w:r>
              <w:rPr>
                <w:spacing w:val="2"/>
              </w:rPr>
              <w:t>供应商应成立专门的服务团队，配备医学、法律、财会等专业背景的专职服务人员，负责做</w:t>
            </w:r>
            <w:r>
              <w:rPr>
                <w:spacing w:val="1"/>
              </w:rPr>
              <w:t>好与采购人</w:t>
            </w:r>
            <w:r>
              <w:rPr>
                <w:spacing w:val="2"/>
              </w:rPr>
              <w:t>及其参与人的沟通协调、咨询、费用支付、投诉、法律法规及医疗纠纷防范培训等服务。</w:t>
            </w:r>
          </w:p>
        </w:tc>
      </w:tr>
      <w:tr w14:paraId="4CB7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539" w:type="dxa"/>
            <w:vAlign w:val="top"/>
          </w:tcPr>
          <w:p w14:paraId="5D1D0B0D">
            <w:pPr>
              <w:spacing w:before="304" w:line="183" w:lineRule="auto"/>
              <w:ind w:left="213"/>
              <w:rPr>
                <w:rFonts w:hint="eastAsia" w:ascii="Segoe UI Symbol" w:hAnsi="Segoe UI Symbol" w:eastAsia="宋体" w:cs="Segoe UI Symbol"/>
                <w:spacing w:val="5"/>
                <w:sz w:val="19"/>
                <w:szCs w:val="19"/>
                <w:lang w:val="en-US" w:eastAsia="zh-CN"/>
              </w:rPr>
            </w:pPr>
            <w:r>
              <w:rPr>
                <w:rFonts w:hint="eastAsia" w:ascii="Segoe UI Symbol" w:hAnsi="Segoe UI Symbol" w:eastAsia="宋体" w:cs="Segoe UI Symbol"/>
                <w:spacing w:val="5"/>
                <w:sz w:val="19"/>
                <w:szCs w:val="19"/>
                <w:lang w:val="en-US" w:eastAsia="zh-CN"/>
              </w:rPr>
              <w:t>7</w:t>
            </w:r>
          </w:p>
        </w:tc>
        <w:tc>
          <w:tcPr>
            <w:tcW w:w="751" w:type="dxa"/>
            <w:vAlign w:val="top"/>
          </w:tcPr>
          <w:p w14:paraId="6E6E13E4">
            <w:pPr>
              <w:spacing w:before="63" w:line="180" w:lineRule="auto"/>
              <w:ind w:left="0"/>
              <w:rPr>
                <w:rFonts w:ascii="Segoe UI Symbol" w:hAnsi="Segoe UI Symbol" w:eastAsia="Segoe UI Symbol" w:cs="Segoe UI Symbol"/>
                <w:sz w:val="19"/>
                <w:szCs w:val="19"/>
              </w:rPr>
            </w:pPr>
          </w:p>
          <w:p w14:paraId="6F533609">
            <w:pPr>
              <w:spacing w:before="63" w:line="180" w:lineRule="auto"/>
              <w:ind w:left="291"/>
              <w:rPr>
                <w:rFonts w:ascii="Segoe UI Symbol" w:hAnsi="Segoe UI Symbol" w:eastAsia="Segoe UI Symbol" w:cs="Segoe UI Symbol"/>
                <w:sz w:val="19"/>
                <w:szCs w:val="19"/>
              </w:rPr>
            </w:pPr>
            <w:r>
              <w:rPr>
                <w:rFonts w:ascii="Segoe UI Symbol" w:hAnsi="Segoe UI Symbol" w:eastAsia="Segoe UI Symbol" w:cs="Segoe UI Symbol"/>
                <w:sz w:val="19"/>
                <w:szCs w:val="19"/>
              </w:rPr>
              <w:t>★</w:t>
            </w:r>
          </w:p>
        </w:tc>
        <w:tc>
          <w:tcPr>
            <w:tcW w:w="1915" w:type="dxa"/>
            <w:vAlign w:val="center"/>
          </w:tcPr>
          <w:p w14:paraId="11964DEE">
            <w:pPr>
              <w:pStyle w:val="33"/>
              <w:spacing w:before="284" w:line="221" w:lineRule="auto"/>
              <w:ind w:left="104" w:right="0" w:firstLine="388" w:firstLineChars="200"/>
              <w:jc w:val="both"/>
              <w:rPr>
                <w:rFonts w:ascii="宋体" w:hAnsi="宋体" w:eastAsia="宋体" w:cs="宋体"/>
                <w:spacing w:val="2"/>
              </w:rPr>
            </w:pPr>
            <w:r>
              <w:rPr>
                <w:rFonts w:ascii="宋体" w:hAnsi="宋体" w:eastAsia="宋体" w:cs="宋体"/>
                <w:spacing w:val="2"/>
              </w:rPr>
              <w:t>理赔服务</w:t>
            </w:r>
          </w:p>
        </w:tc>
        <w:tc>
          <w:tcPr>
            <w:tcW w:w="5137" w:type="dxa"/>
            <w:vAlign w:val="center"/>
          </w:tcPr>
          <w:p w14:paraId="505D5EEC">
            <w:pPr>
              <w:pStyle w:val="33"/>
              <w:spacing w:before="284" w:line="221" w:lineRule="auto"/>
              <w:ind w:left="104"/>
              <w:jc w:val="left"/>
              <w:rPr>
                <w:rFonts w:ascii="宋体" w:hAnsi="宋体" w:eastAsia="宋体" w:cs="宋体"/>
                <w:spacing w:val="2"/>
              </w:rPr>
            </w:pPr>
            <w:r>
              <w:rPr>
                <w:rFonts w:ascii="宋体" w:hAnsi="宋体" w:eastAsia="宋体" w:cs="宋体"/>
                <w:spacing w:val="2"/>
              </w:rPr>
              <w:t>供应商应成立理赔服务团队，设有24小时热线客户咨询服务、投诉举报电话</w:t>
            </w:r>
            <w:r>
              <w:rPr>
                <w:rFonts w:hint="eastAsia" w:cs="宋体"/>
                <w:spacing w:val="2"/>
                <w:lang w:eastAsia="zh-CN"/>
              </w:rPr>
              <w:t>，</w:t>
            </w:r>
            <w:r>
              <w:rPr>
                <w:rFonts w:ascii="宋体" w:hAnsi="宋体" w:eastAsia="宋体" w:cs="宋体"/>
                <w:spacing w:val="2"/>
              </w:rPr>
              <w:t>有专人接听、记录、受理。指定理赔专员负责采购人的理赔事宜，以便更好地保证服务质量和时效。</w:t>
            </w:r>
          </w:p>
        </w:tc>
      </w:tr>
    </w:tbl>
    <w:p w14:paraId="7047B17C">
      <w:pPr>
        <w:pStyle w:val="13"/>
        <w:ind w:left="0"/>
        <w:jc w:val="left"/>
        <w:rPr>
          <w:rFonts w:hint="eastAsia"/>
          <w:b/>
          <w:sz w:val="21"/>
          <w:lang w:val="en-US" w:eastAsia="zh-CN"/>
        </w:rPr>
      </w:pPr>
    </w:p>
    <w:p w14:paraId="54C83B06">
      <w:pPr>
        <w:pStyle w:val="13"/>
        <w:ind w:left="420"/>
        <w:jc w:val="left"/>
        <w:rPr>
          <w:b/>
          <w:sz w:val="21"/>
        </w:rPr>
      </w:pPr>
      <w:r>
        <w:rPr>
          <w:rFonts w:hint="eastAsia"/>
          <w:b/>
          <w:sz w:val="21"/>
          <w:lang w:val="en-US" w:eastAsia="zh-CN"/>
        </w:rPr>
        <w:t>四</w:t>
      </w:r>
      <w:r>
        <w:rPr>
          <w:b/>
          <w:sz w:val="21"/>
        </w:rPr>
        <w:t>、相关报价要求及说明</w:t>
      </w:r>
    </w:p>
    <w:p w14:paraId="5FB94BC9">
      <w:pPr>
        <w:pStyle w:val="13"/>
        <w:ind w:firstLine="422"/>
        <w:jc w:val="both"/>
        <w:rPr>
          <w:highlight w:val="none"/>
        </w:rPr>
      </w:pPr>
      <w:r>
        <w:rPr>
          <w:sz w:val="21"/>
          <w:highlight w:val="none"/>
        </w:rPr>
        <w:t>★</w:t>
      </w:r>
      <w:r>
        <w:rPr>
          <w:b/>
          <w:sz w:val="21"/>
          <w:highlight w:val="none"/>
        </w:rPr>
        <w:t>本项目按折扣率报价，报价人必须对所有品种报出一个统一的折扣率，不允许不同品种报不同的折扣率，否则按无效报价处理</w:t>
      </w:r>
      <w:r>
        <w:rPr>
          <w:b/>
          <w:sz w:val="22"/>
          <w:highlight w:val="none"/>
        </w:rPr>
        <w:t>。</w:t>
      </w:r>
    </w:p>
    <w:p w14:paraId="09C14A01">
      <w:pPr>
        <w:pStyle w:val="13"/>
        <w:ind w:firstLine="420"/>
        <w:jc w:val="both"/>
        <w:rPr>
          <w:highlight w:val="none"/>
        </w:rPr>
      </w:pPr>
      <w:r>
        <w:rPr>
          <w:sz w:val="21"/>
          <w:highlight w:val="none"/>
        </w:rPr>
        <w:t>如：某供应商的响应报价是“折扣率=85%”，则供应商的结算价=单项采购预算×85%。</w:t>
      </w:r>
    </w:p>
    <w:p w14:paraId="0C9B997B">
      <w:pPr>
        <w:pStyle w:val="13"/>
        <w:ind w:left="420"/>
        <w:jc w:val="left"/>
      </w:pPr>
      <w:r>
        <w:rPr>
          <w:rFonts w:hint="eastAsia"/>
          <w:b/>
          <w:sz w:val="21"/>
          <w:lang w:val="en-US" w:eastAsia="zh-CN"/>
        </w:rPr>
        <w:t>五</w:t>
      </w:r>
      <w:r>
        <w:rPr>
          <w:b/>
          <w:sz w:val="21"/>
        </w:rPr>
        <w:t>、合同服务期限</w:t>
      </w:r>
      <w:r>
        <w:br w:type="textWrapping"/>
      </w:r>
      <w:r>
        <w:rPr>
          <w:sz w:val="21"/>
        </w:rPr>
        <w:t>自合同签订之日起</w:t>
      </w:r>
      <w:r>
        <w:rPr>
          <w:rFonts w:hint="eastAsia"/>
          <w:sz w:val="21"/>
          <w:lang w:eastAsia="zh-CN"/>
        </w:rPr>
        <w:t>一年</w:t>
      </w:r>
      <w:r>
        <w:rPr>
          <w:sz w:val="21"/>
        </w:rPr>
        <w:t>。</w:t>
      </w:r>
    </w:p>
    <w:p w14:paraId="03CCB3E9">
      <w:pPr>
        <w:pStyle w:val="13"/>
        <w:ind w:firstLine="422"/>
        <w:jc w:val="left"/>
      </w:pPr>
      <w:r>
        <w:rPr>
          <w:rFonts w:hint="eastAsia"/>
          <w:b/>
          <w:sz w:val="21"/>
          <w:lang w:val="en-US" w:eastAsia="zh-CN"/>
        </w:rPr>
        <w:t>六</w:t>
      </w:r>
      <w:r>
        <w:rPr>
          <w:b/>
          <w:sz w:val="21"/>
        </w:rPr>
        <w:t>、服务要求</w:t>
      </w:r>
    </w:p>
    <w:p w14:paraId="21722F65">
      <w:pPr>
        <w:pStyle w:val="13"/>
        <w:ind w:firstLine="442"/>
        <w:jc w:val="both"/>
        <w:rPr>
          <w:rFonts w:hint="eastAsia" w:eastAsiaTheme="minorEastAsia"/>
          <w:lang w:eastAsia="zh-CN"/>
        </w:rPr>
      </w:pPr>
      <w:r>
        <w:rPr>
          <w:sz w:val="21"/>
        </w:rPr>
        <w:t>6.1合同签订后，中标供应商须配合采购人的统一管理</w:t>
      </w:r>
      <w:r>
        <w:rPr>
          <w:rFonts w:hint="eastAsia"/>
          <w:sz w:val="21"/>
          <w:lang w:eastAsia="zh-CN"/>
        </w:rPr>
        <w:t>。</w:t>
      </w:r>
    </w:p>
    <w:p w14:paraId="6694CFDA">
      <w:pPr>
        <w:pStyle w:val="13"/>
        <w:ind w:firstLine="422"/>
        <w:jc w:val="left"/>
      </w:pPr>
      <w:r>
        <w:rPr>
          <w:rFonts w:hint="eastAsia"/>
          <w:b/>
          <w:sz w:val="21"/>
          <w:lang w:val="en-US" w:eastAsia="zh-CN"/>
        </w:rPr>
        <w:t>七</w:t>
      </w:r>
      <w:r>
        <w:rPr>
          <w:b/>
          <w:sz w:val="21"/>
        </w:rPr>
        <w:t>、付款方式</w:t>
      </w:r>
    </w:p>
    <w:p w14:paraId="493BC043">
      <w:pPr>
        <w:pStyle w:val="13"/>
        <w:ind w:firstLine="420"/>
        <w:jc w:val="both"/>
      </w:pPr>
      <w:r>
        <w:rPr>
          <w:rFonts w:hint="eastAsia"/>
          <w:sz w:val="21"/>
          <w:lang w:val="en-US" w:eastAsia="zh-CN"/>
        </w:rPr>
        <w:t>7</w:t>
      </w:r>
      <w:r>
        <w:rPr>
          <w:sz w:val="21"/>
        </w:rPr>
        <w:t>.1</w:t>
      </w:r>
      <w:r>
        <w:rPr>
          <w:rFonts w:hint="eastAsia"/>
          <w:sz w:val="21"/>
          <w:lang w:val="en-US" w:eastAsia="zh-CN"/>
        </w:rPr>
        <w:t xml:space="preserve"> </w:t>
      </w:r>
      <w:r>
        <w:rPr>
          <w:rFonts w:hint="eastAsia"/>
          <w:sz w:val="21"/>
        </w:rPr>
        <w:t>合同签订后，达到付款条件起30日内，据实情况说明为保险合同签订后支付</w:t>
      </w:r>
      <w:r>
        <w:rPr>
          <w:sz w:val="21"/>
        </w:rPr>
        <w:t>。（支付方式含银行转账、支票、银行承兑汇票、商业承兑汇票等形式）。</w:t>
      </w:r>
    </w:p>
    <w:p w14:paraId="015E99B0">
      <w:pPr>
        <w:pStyle w:val="13"/>
        <w:ind w:firstLine="420"/>
        <w:jc w:val="both"/>
      </w:pPr>
      <w:r>
        <w:rPr>
          <w:rFonts w:hint="eastAsia"/>
          <w:sz w:val="21"/>
          <w:lang w:val="en-US" w:eastAsia="zh-CN"/>
        </w:rPr>
        <w:t>7</w:t>
      </w:r>
      <w:r>
        <w:rPr>
          <w:sz w:val="21"/>
        </w:rPr>
        <w:t>.2</w:t>
      </w:r>
      <w:r>
        <w:rPr>
          <w:rFonts w:hint="eastAsia"/>
          <w:sz w:val="21"/>
          <w:lang w:val="en-US" w:eastAsia="zh-CN"/>
        </w:rPr>
        <w:t xml:space="preserve"> </w:t>
      </w:r>
      <w:r>
        <w:rPr>
          <w:sz w:val="21"/>
        </w:rPr>
        <w:t>向采购人开票详细信息：</w:t>
      </w:r>
    </w:p>
    <w:tbl>
      <w:tblPr>
        <w:tblStyle w:val="1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54"/>
        <w:gridCol w:w="5551"/>
      </w:tblGrid>
      <w:tr w14:paraId="5415B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DF346B">
            <w:pPr>
              <w:pStyle w:val="13"/>
              <w:jc w:val="both"/>
            </w:pPr>
            <w:r>
              <w:rPr>
                <w:sz w:val="21"/>
              </w:rPr>
              <w:t>单位名称</w:t>
            </w:r>
          </w:p>
        </w:tc>
        <w:tc>
          <w:tcPr>
            <w:tcW w:w="55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22AC60">
            <w:pPr>
              <w:pStyle w:val="13"/>
              <w:jc w:val="left"/>
              <w:rPr>
                <w:rFonts w:hint="eastAsia" w:eastAsiaTheme="minorEastAsia"/>
                <w:lang w:eastAsia="zh-CN"/>
              </w:rPr>
            </w:pPr>
            <w:r>
              <w:rPr>
                <w:rFonts w:hint="eastAsia"/>
                <w:sz w:val="21"/>
                <w:lang w:eastAsia="zh-CN"/>
              </w:rPr>
              <w:t>广东省生殖科学研究所（广东省生殖医院）</w:t>
            </w:r>
          </w:p>
        </w:tc>
      </w:tr>
      <w:tr w14:paraId="1E8733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24BDC">
            <w:pPr>
              <w:pStyle w:val="13"/>
              <w:jc w:val="both"/>
            </w:pPr>
            <w:r>
              <w:rPr>
                <w:sz w:val="21"/>
              </w:rPr>
              <w:t>统一社会信用代码</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705A1">
            <w:pPr>
              <w:pStyle w:val="13"/>
              <w:jc w:val="left"/>
            </w:pPr>
            <w:r>
              <w:rPr>
                <w:rFonts w:hint="eastAsia"/>
                <w:sz w:val="21"/>
              </w:rPr>
              <w:t>1244 0000 4558 5851 3N</w:t>
            </w:r>
          </w:p>
        </w:tc>
      </w:tr>
      <w:tr w14:paraId="099ED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3E00B">
            <w:pPr>
              <w:pStyle w:val="13"/>
              <w:jc w:val="both"/>
            </w:pPr>
            <w:r>
              <w:rPr>
                <w:sz w:val="21"/>
              </w:rPr>
              <w:t>地址</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7A779">
            <w:pPr>
              <w:pStyle w:val="13"/>
              <w:jc w:val="both"/>
            </w:pPr>
            <w:r>
              <w:rPr>
                <w:rFonts w:hint="eastAsia"/>
                <w:sz w:val="21"/>
              </w:rPr>
              <w:t>广州市梅东路17号</w:t>
            </w:r>
          </w:p>
        </w:tc>
      </w:tr>
      <w:tr w14:paraId="67629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DB9CE">
            <w:pPr>
              <w:pStyle w:val="13"/>
              <w:jc w:val="both"/>
            </w:pPr>
            <w:r>
              <w:rPr>
                <w:sz w:val="21"/>
              </w:rPr>
              <w:t>电话</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FD8C4">
            <w:pPr>
              <w:pStyle w:val="13"/>
              <w:jc w:val="both"/>
            </w:pPr>
            <w:r>
              <w:rPr>
                <w:rFonts w:hint="eastAsia"/>
                <w:sz w:val="21"/>
              </w:rPr>
              <w:t>020-87606496</w:t>
            </w:r>
          </w:p>
        </w:tc>
      </w:tr>
      <w:tr w14:paraId="66E36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154AB">
            <w:pPr>
              <w:pStyle w:val="13"/>
              <w:jc w:val="both"/>
            </w:pPr>
            <w:r>
              <w:rPr>
                <w:sz w:val="21"/>
              </w:rPr>
              <w:t>开户行</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B8C5B">
            <w:pPr>
              <w:pStyle w:val="13"/>
              <w:jc w:val="both"/>
            </w:pPr>
            <w:r>
              <w:rPr>
                <w:rFonts w:hint="eastAsia"/>
                <w:sz w:val="21"/>
              </w:rPr>
              <w:t>中国银行股份有限公司广州水均岗支行</w:t>
            </w:r>
          </w:p>
        </w:tc>
      </w:tr>
      <w:tr w14:paraId="161A6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C8776">
            <w:pPr>
              <w:pStyle w:val="13"/>
              <w:jc w:val="both"/>
            </w:pPr>
            <w:r>
              <w:rPr>
                <w:sz w:val="21"/>
              </w:rPr>
              <w:t>账号</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F5C4D">
            <w:pPr>
              <w:pStyle w:val="13"/>
              <w:jc w:val="both"/>
            </w:pPr>
            <w:r>
              <w:rPr>
                <w:rFonts w:hint="eastAsia"/>
                <w:sz w:val="21"/>
              </w:rPr>
              <w:t>6704 5773 7992</w:t>
            </w:r>
          </w:p>
        </w:tc>
      </w:tr>
    </w:tbl>
    <w:p w14:paraId="265F4B80">
      <w:pPr>
        <w:pStyle w:val="13"/>
        <w:spacing w:before="120"/>
        <w:ind w:firstLine="420"/>
        <w:jc w:val="both"/>
      </w:pPr>
      <w:r>
        <w:rPr>
          <w:rFonts w:hint="eastAsia"/>
          <w:sz w:val="21"/>
          <w:lang w:val="en-US" w:eastAsia="zh-CN"/>
        </w:rPr>
        <w:t>7</w:t>
      </w:r>
      <w:r>
        <w:rPr>
          <w:sz w:val="21"/>
        </w:rPr>
        <w:t>.3</w:t>
      </w:r>
      <w:r>
        <w:rPr>
          <w:rFonts w:hint="eastAsia"/>
          <w:sz w:val="21"/>
          <w:lang w:val="en-US" w:eastAsia="zh-CN"/>
        </w:rPr>
        <w:t xml:space="preserve"> </w:t>
      </w:r>
      <w:r>
        <w:rPr>
          <w:sz w:val="21"/>
        </w:rPr>
        <w:t>中标供应商须提供开户银行名称</w:t>
      </w:r>
      <w:r>
        <w:rPr>
          <w:rFonts w:hint="eastAsia"/>
          <w:sz w:val="21"/>
          <w:lang w:eastAsia="zh-CN"/>
        </w:rPr>
        <w:t>及账号</w:t>
      </w:r>
      <w:r>
        <w:rPr>
          <w:sz w:val="21"/>
        </w:rPr>
        <w:t>。</w:t>
      </w:r>
    </w:p>
    <w:tbl>
      <w:tblPr>
        <w:tblStyle w:val="10"/>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71"/>
        <w:gridCol w:w="5934"/>
      </w:tblGrid>
      <w:tr w14:paraId="31A519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191D54">
            <w:pPr>
              <w:pStyle w:val="13"/>
              <w:jc w:val="left"/>
            </w:pPr>
            <w:r>
              <w:rPr>
                <w:sz w:val="21"/>
              </w:rPr>
              <w:t>户名</w:t>
            </w:r>
          </w:p>
        </w:tc>
        <w:tc>
          <w:tcPr>
            <w:tcW w:w="5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F3DB7A">
            <w:pPr>
              <w:pStyle w:val="13"/>
              <w:ind w:firstLine="420"/>
              <w:jc w:val="left"/>
            </w:pPr>
          </w:p>
        </w:tc>
      </w:tr>
      <w:tr w14:paraId="0C4663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A44BA">
            <w:pPr>
              <w:pStyle w:val="13"/>
              <w:jc w:val="left"/>
            </w:pPr>
            <w:r>
              <w:rPr>
                <w:sz w:val="21"/>
              </w:rPr>
              <w:t>开户银行</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2B1D0">
            <w:pPr>
              <w:pStyle w:val="13"/>
              <w:ind w:firstLine="420"/>
              <w:jc w:val="left"/>
            </w:pPr>
          </w:p>
        </w:tc>
      </w:tr>
      <w:tr w14:paraId="146CC0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6625A">
            <w:pPr>
              <w:pStyle w:val="13"/>
              <w:jc w:val="left"/>
            </w:pPr>
            <w:r>
              <w:rPr>
                <w:sz w:val="21"/>
              </w:rPr>
              <w:t>账号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C0440">
            <w:pPr>
              <w:pStyle w:val="13"/>
              <w:ind w:firstLine="420"/>
              <w:jc w:val="left"/>
            </w:pPr>
          </w:p>
        </w:tc>
      </w:tr>
      <w:tr w14:paraId="5951D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BE4B9">
            <w:pPr>
              <w:pStyle w:val="13"/>
              <w:jc w:val="left"/>
            </w:pPr>
            <w:r>
              <w:rPr>
                <w:sz w:val="21"/>
              </w:rPr>
              <w:t>纳税人识别号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DB43B">
            <w:pPr>
              <w:pStyle w:val="13"/>
              <w:ind w:firstLine="420"/>
              <w:jc w:val="left"/>
            </w:pPr>
          </w:p>
        </w:tc>
      </w:tr>
    </w:tbl>
    <w:p w14:paraId="3081E239">
      <w:pPr>
        <w:pStyle w:val="13"/>
        <w:ind w:firstLine="420"/>
        <w:jc w:val="both"/>
      </w:pPr>
      <w:r>
        <w:rPr>
          <w:rFonts w:hint="eastAsia"/>
          <w:sz w:val="21"/>
          <w:lang w:val="en-US" w:eastAsia="zh-CN"/>
        </w:rPr>
        <w:t>7</w:t>
      </w:r>
      <w:r>
        <w:rPr>
          <w:sz w:val="21"/>
        </w:rPr>
        <w:t>.4</w:t>
      </w:r>
      <w:r>
        <w:rPr>
          <w:rFonts w:hint="eastAsia"/>
          <w:sz w:val="21"/>
          <w:lang w:val="en-US" w:eastAsia="zh-CN"/>
        </w:rPr>
        <w:t xml:space="preserve"> </w:t>
      </w:r>
      <w:r>
        <w:rPr>
          <w:sz w:val="21"/>
        </w:rPr>
        <w:t>中标人凭以下资料与采购人结算：</w:t>
      </w:r>
    </w:p>
    <w:p w14:paraId="518AE6F7">
      <w:pPr>
        <w:pStyle w:val="13"/>
        <w:ind w:right="-60" w:firstLine="420"/>
        <w:jc w:val="both"/>
      </w:pPr>
      <w:r>
        <w:rPr>
          <w:sz w:val="21"/>
        </w:rPr>
        <w:t>①合同；</w:t>
      </w:r>
    </w:p>
    <w:p w14:paraId="3912E537">
      <w:pPr>
        <w:pStyle w:val="13"/>
        <w:ind w:right="-60" w:firstLine="420"/>
        <w:jc w:val="both"/>
        <w:rPr>
          <w:rFonts w:hint="eastAsia" w:eastAsiaTheme="minorEastAsia"/>
          <w:lang w:eastAsia="zh-CN"/>
        </w:rPr>
      </w:pPr>
      <w:r>
        <w:rPr>
          <w:sz w:val="21"/>
        </w:rPr>
        <w:t>②中标人开具的增值税普通发票</w:t>
      </w:r>
      <w:r>
        <w:rPr>
          <w:rFonts w:hint="eastAsia"/>
          <w:sz w:val="21"/>
          <w:lang w:eastAsia="zh-CN"/>
        </w:rPr>
        <w:t>。</w:t>
      </w:r>
    </w:p>
    <w:p w14:paraId="2AC5AEBE">
      <w:pPr>
        <w:pStyle w:val="13"/>
        <w:jc w:val="left"/>
        <w:rPr>
          <w:color w:val="FF0000"/>
        </w:rPr>
      </w:pPr>
    </w:p>
    <w:p w14:paraId="1594BB7A">
      <w:pPr>
        <w:pStyle w:val="13"/>
        <w:rPr>
          <w:b/>
        </w:rPr>
      </w:pPr>
    </w:p>
    <w:p w14:paraId="5FB16D33">
      <w:pPr>
        <w:pStyle w:val="13"/>
        <w:jc w:val="center"/>
        <w:outlineLvl w:val="1"/>
      </w:pPr>
      <w:r>
        <w:rPr>
          <w:b/>
          <w:sz w:val="36"/>
        </w:rPr>
        <w:t>第三章 投标人须知</w:t>
      </w:r>
    </w:p>
    <w:p w14:paraId="15D17AB1">
      <w:pPr>
        <w:pStyle w:val="13"/>
        <w:ind w:firstLine="480"/>
      </w:pPr>
      <w:r>
        <w:t xml:space="preserve"> 投标人必须认真阅读招标文件中所有的事项、格式、条款和采购需求等。投标人没有按照招标文件要求提交全部资料，或者</w:t>
      </w:r>
      <w:r>
        <w:rPr>
          <w:rFonts w:hint="eastAsia"/>
          <w:lang w:eastAsia="zh-CN"/>
        </w:rPr>
        <w:t>磋商</w:t>
      </w:r>
      <w:r>
        <w:t>文件没有对招标文件在各方面都做出实质性响应的可能导致其</w:t>
      </w:r>
      <w:r>
        <w:rPr>
          <w:rFonts w:hint="eastAsia"/>
          <w:lang w:eastAsia="zh-CN"/>
        </w:rPr>
        <w:t>磋商</w:t>
      </w:r>
      <w:r>
        <w:t>无效或被拒绝。</w:t>
      </w:r>
    </w:p>
    <w:p w14:paraId="0C5DB952">
      <w:pPr>
        <w:pStyle w:val="13"/>
        <w:outlineLvl w:val="3"/>
      </w:pPr>
      <w:r>
        <w:rPr>
          <w:b/>
          <w:sz w:val="24"/>
        </w:rPr>
        <w:t>一、</w:t>
      </w:r>
      <w:r>
        <w:rPr>
          <w:b/>
          <w:sz w:val="28"/>
        </w:rPr>
        <w:t>须知前附表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2152"/>
        <w:gridCol w:w="5358"/>
      </w:tblGrid>
      <w:tr w14:paraId="3A02A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3F9F7C64">
            <w:pPr>
              <w:pStyle w:val="13"/>
            </w:pPr>
            <w:r>
              <w:t xml:space="preserve"> 本表与招标文件对应章节的内容若不一致，以本表为准。</w:t>
            </w:r>
          </w:p>
        </w:tc>
      </w:tr>
      <w:tr w14:paraId="3B47E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AD2B079">
            <w:pPr>
              <w:pStyle w:val="13"/>
            </w:pPr>
            <w:r>
              <w:t xml:space="preserve"> 序号</w:t>
            </w:r>
          </w:p>
        </w:tc>
        <w:tc>
          <w:tcPr>
            <w:tcW w:w="2152" w:type="dxa"/>
          </w:tcPr>
          <w:p w14:paraId="5628A1E2">
            <w:pPr>
              <w:pStyle w:val="13"/>
            </w:pPr>
            <w:r>
              <w:t>条款名称</w:t>
            </w:r>
          </w:p>
        </w:tc>
        <w:tc>
          <w:tcPr>
            <w:tcW w:w="5358" w:type="dxa"/>
          </w:tcPr>
          <w:p w14:paraId="211155CC">
            <w:pPr>
              <w:pStyle w:val="13"/>
            </w:pPr>
            <w:r>
              <w:t>内容及要求</w:t>
            </w:r>
          </w:p>
        </w:tc>
      </w:tr>
      <w:tr w14:paraId="3B84D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004E0E6">
            <w:pPr>
              <w:pStyle w:val="13"/>
            </w:pPr>
            <w:r>
              <w:t xml:space="preserve"> 1</w:t>
            </w:r>
          </w:p>
        </w:tc>
        <w:tc>
          <w:tcPr>
            <w:tcW w:w="2152" w:type="dxa"/>
          </w:tcPr>
          <w:p w14:paraId="1ED639A4">
            <w:pPr>
              <w:pStyle w:val="13"/>
            </w:pPr>
            <w:r>
              <w:t>采购包情况</w:t>
            </w:r>
          </w:p>
        </w:tc>
        <w:tc>
          <w:tcPr>
            <w:tcW w:w="5358" w:type="dxa"/>
          </w:tcPr>
          <w:p w14:paraId="42CC3873">
            <w:pPr>
              <w:pStyle w:val="13"/>
            </w:pPr>
            <w:r>
              <w:t>本项目共1个采购包</w:t>
            </w:r>
          </w:p>
        </w:tc>
      </w:tr>
      <w:tr w14:paraId="49762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D1523E1">
            <w:pPr>
              <w:pStyle w:val="13"/>
            </w:pPr>
            <w:r>
              <w:t xml:space="preserve"> 2</w:t>
            </w:r>
          </w:p>
        </w:tc>
        <w:tc>
          <w:tcPr>
            <w:tcW w:w="2152" w:type="dxa"/>
          </w:tcPr>
          <w:p w14:paraId="7260A3A7">
            <w:pPr>
              <w:pStyle w:val="13"/>
            </w:pPr>
            <w:r>
              <w:t>开标方式</w:t>
            </w:r>
          </w:p>
        </w:tc>
        <w:tc>
          <w:tcPr>
            <w:tcW w:w="5358" w:type="dxa"/>
          </w:tcPr>
          <w:p w14:paraId="3B2EE1FF">
            <w:pPr>
              <w:pStyle w:val="13"/>
            </w:pPr>
            <w:r>
              <w:rPr>
                <w:rFonts w:hint="eastAsia"/>
                <w:lang w:val="en-US" w:eastAsia="zh-CN"/>
              </w:rPr>
              <w:t>现场</w:t>
            </w:r>
            <w:r>
              <w:t>开标</w:t>
            </w:r>
          </w:p>
        </w:tc>
      </w:tr>
      <w:tr w14:paraId="1441F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B6E7FED">
            <w:pPr>
              <w:pStyle w:val="13"/>
            </w:pPr>
            <w:r>
              <w:t xml:space="preserve"> 3</w:t>
            </w:r>
          </w:p>
        </w:tc>
        <w:tc>
          <w:tcPr>
            <w:tcW w:w="2152" w:type="dxa"/>
          </w:tcPr>
          <w:p w14:paraId="13734AEF">
            <w:pPr>
              <w:pStyle w:val="13"/>
            </w:pPr>
            <w:r>
              <w:t>评标方式</w:t>
            </w:r>
          </w:p>
        </w:tc>
        <w:tc>
          <w:tcPr>
            <w:tcW w:w="5358" w:type="dxa"/>
          </w:tcPr>
          <w:p w14:paraId="1BBEB6FD">
            <w:pPr>
              <w:pStyle w:val="13"/>
            </w:pPr>
            <w:r>
              <w:t>现场评标 （供应商应当审慎标记各评审项的应答部分，标记内容清晰且完整，否则将自行承担不利后果）</w:t>
            </w:r>
          </w:p>
        </w:tc>
      </w:tr>
      <w:tr w14:paraId="344F7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05613FA">
            <w:pPr>
              <w:pStyle w:val="13"/>
            </w:pPr>
            <w:r>
              <w:t xml:space="preserve"> 4</w:t>
            </w:r>
          </w:p>
        </w:tc>
        <w:tc>
          <w:tcPr>
            <w:tcW w:w="2152" w:type="dxa"/>
          </w:tcPr>
          <w:p w14:paraId="5E438153">
            <w:pPr>
              <w:pStyle w:val="13"/>
            </w:pPr>
            <w:r>
              <w:t>评标办法</w:t>
            </w:r>
          </w:p>
        </w:tc>
        <w:tc>
          <w:tcPr>
            <w:tcW w:w="5358" w:type="dxa"/>
          </w:tcPr>
          <w:p w14:paraId="5B351F92">
            <w:pPr>
              <w:pStyle w:val="13"/>
            </w:pPr>
            <w:r>
              <w:t>综合评分法</w:t>
            </w:r>
          </w:p>
        </w:tc>
      </w:tr>
      <w:tr w14:paraId="5F3D2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F025AD8">
            <w:pPr>
              <w:pStyle w:val="13"/>
            </w:pPr>
            <w:r>
              <w:t>5</w:t>
            </w:r>
          </w:p>
        </w:tc>
        <w:tc>
          <w:tcPr>
            <w:tcW w:w="2152" w:type="dxa"/>
          </w:tcPr>
          <w:p w14:paraId="3D8ADA7D">
            <w:pPr>
              <w:pStyle w:val="13"/>
            </w:pPr>
            <w:r>
              <w:t>报价形式</w:t>
            </w:r>
          </w:p>
        </w:tc>
        <w:tc>
          <w:tcPr>
            <w:tcW w:w="5358" w:type="dxa"/>
          </w:tcPr>
          <w:p w14:paraId="446C87AC">
            <w:pPr>
              <w:pStyle w:val="13"/>
            </w:pPr>
            <w:r>
              <w:t>折扣率</w:t>
            </w:r>
          </w:p>
        </w:tc>
      </w:tr>
      <w:tr w14:paraId="7F242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1DC65C1">
            <w:pPr>
              <w:pStyle w:val="13"/>
            </w:pPr>
            <w:r>
              <w:t>6</w:t>
            </w:r>
          </w:p>
        </w:tc>
        <w:tc>
          <w:tcPr>
            <w:tcW w:w="2152" w:type="dxa"/>
          </w:tcPr>
          <w:p w14:paraId="20BB32B8">
            <w:pPr>
              <w:pStyle w:val="13"/>
            </w:pPr>
            <w:r>
              <w:t>报价要求</w:t>
            </w:r>
          </w:p>
        </w:tc>
        <w:tc>
          <w:tcPr>
            <w:tcW w:w="5358" w:type="dxa"/>
          </w:tcPr>
          <w:p w14:paraId="082150AE">
            <w:pPr>
              <w:pStyle w:val="13"/>
            </w:pPr>
            <w:r>
              <w:t>0% - 100%</w:t>
            </w:r>
          </w:p>
        </w:tc>
      </w:tr>
      <w:tr w14:paraId="06B1A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3A0E069">
            <w:pPr>
              <w:pStyle w:val="13"/>
            </w:pPr>
            <w:r>
              <w:t xml:space="preserve"> 7</w:t>
            </w:r>
          </w:p>
        </w:tc>
        <w:tc>
          <w:tcPr>
            <w:tcW w:w="2152" w:type="dxa"/>
          </w:tcPr>
          <w:p w14:paraId="5BDFDD8A">
            <w:pPr>
              <w:pStyle w:val="13"/>
            </w:pPr>
            <w:r>
              <w:t>现场踏勘</w:t>
            </w:r>
          </w:p>
        </w:tc>
        <w:tc>
          <w:tcPr>
            <w:tcW w:w="5358" w:type="dxa"/>
          </w:tcPr>
          <w:p w14:paraId="31CA7286">
            <w:pPr>
              <w:pStyle w:val="13"/>
            </w:pPr>
            <w:r>
              <w:t>否</w:t>
            </w:r>
          </w:p>
        </w:tc>
      </w:tr>
      <w:tr w14:paraId="179E8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C0D6C61">
            <w:pPr>
              <w:pStyle w:val="13"/>
            </w:pPr>
            <w:r>
              <w:t xml:space="preserve"> 8</w:t>
            </w:r>
          </w:p>
        </w:tc>
        <w:tc>
          <w:tcPr>
            <w:tcW w:w="2152" w:type="dxa"/>
          </w:tcPr>
          <w:p w14:paraId="6382A327">
            <w:pPr>
              <w:pStyle w:val="13"/>
            </w:pPr>
            <w:r>
              <w:rPr>
                <w:rFonts w:hint="eastAsia"/>
                <w:lang w:eastAsia="zh-CN"/>
              </w:rPr>
              <w:t>磋商</w:t>
            </w:r>
            <w:r>
              <w:t>有效期</w:t>
            </w:r>
          </w:p>
        </w:tc>
        <w:tc>
          <w:tcPr>
            <w:tcW w:w="5358" w:type="dxa"/>
          </w:tcPr>
          <w:p w14:paraId="4A17152F">
            <w:pPr>
              <w:pStyle w:val="13"/>
            </w:pPr>
            <w:r>
              <w:t>从提交</w:t>
            </w:r>
            <w:r>
              <w:rPr>
                <w:rFonts w:hint="eastAsia"/>
                <w:lang w:eastAsia="zh-CN"/>
              </w:rPr>
              <w:t>磋商</w:t>
            </w:r>
            <w:r>
              <w:t>（响应）文件的截止之日起90日历天</w:t>
            </w:r>
          </w:p>
        </w:tc>
      </w:tr>
      <w:tr w14:paraId="2A0D1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08037EE">
            <w:pPr>
              <w:pStyle w:val="13"/>
            </w:pPr>
            <w:r>
              <w:t xml:space="preserve"> 9</w:t>
            </w:r>
          </w:p>
        </w:tc>
        <w:tc>
          <w:tcPr>
            <w:tcW w:w="2152" w:type="dxa"/>
          </w:tcPr>
          <w:p w14:paraId="755542CF">
            <w:pPr>
              <w:pStyle w:val="13"/>
            </w:pPr>
            <w:r>
              <w:rPr>
                <w:rFonts w:hint="eastAsia"/>
                <w:lang w:eastAsia="zh-CN"/>
              </w:rPr>
              <w:t>磋商</w:t>
            </w:r>
            <w:r>
              <w:t>保证金</w:t>
            </w:r>
          </w:p>
        </w:tc>
        <w:tc>
          <w:tcPr>
            <w:tcW w:w="5358" w:type="dxa"/>
          </w:tcPr>
          <w:p w14:paraId="2E6D7664">
            <w:pPr>
              <w:pStyle w:val="13"/>
              <w:ind w:firstLine="480"/>
            </w:pPr>
            <w:r>
              <w:t>不收取</w:t>
            </w:r>
            <w:r>
              <w:rPr>
                <w:rFonts w:hint="eastAsia"/>
                <w:lang w:eastAsia="zh-CN"/>
              </w:rPr>
              <w:t>磋商</w:t>
            </w:r>
            <w:r>
              <w:t>（响应）保证金</w:t>
            </w:r>
          </w:p>
        </w:tc>
      </w:tr>
      <w:tr w14:paraId="4F353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C5D4799">
            <w:pPr>
              <w:pStyle w:val="13"/>
            </w:pPr>
            <w:r>
              <w:t>10</w:t>
            </w:r>
          </w:p>
        </w:tc>
        <w:tc>
          <w:tcPr>
            <w:tcW w:w="2152" w:type="dxa"/>
          </w:tcPr>
          <w:p w14:paraId="58FE3395">
            <w:pPr>
              <w:pStyle w:val="13"/>
            </w:pPr>
            <w:r>
              <w:rPr>
                <w:rFonts w:hint="eastAsia"/>
                <w:lang w:eastAsia="zh-CN"/>
              </w:rPr>
              <w:t>磋商</w:t>
            </w:r>
            <w:r>
              <w:t>文件要求</w:t>
            </w:r>
          </w:p>
        </w:tc>
        <w:tc>
          <w:tcPr>
            <w:tcW w:w="5358" w:type="dxa"/>
          </w:tcPr>
          <w:p w14:paraId="5CC1143B">
            <w:pPr>
              <w:pStyle w:val="13"/>
              <w:ind w:firstLine="0"/>
            </w:pPr>
            <w:r>
              <w:rPr>
                <w:b/>
              </w:rPr>
              <w:t>一、电子</w:t>
            </w:r>
            <w:r>
              <w:rPr>
                <w:rFonts w:hint="eastAsia"/>
                <w:b/>
                <w:lang w:eastAsia="zh-CN"/>
              </w:rPr>
              <w:t>磋商</w:t>
            </w:r>
            <w:r>
              <w:rPr>
                <w:b/>
              </w:rPr>
              <w:t>文件（必须提供）：</w:t>
            </w:r>
          </w:p>
          <w:p w14:paraId="2F136D64">
            <w:pPr>
              <w:pStyle w:val="13"/>
              <w:ind w:firstLine="0"/>
            </w:pPr>
            <w:r>
              <w:t>电子版文件 U 盘</w:t>
            </w:r>
            <w:r>
              <w:rPr>
                <w:rFonts w:hint="eastAsia"/>
                <w:lang w:eastAsia="zh-CN"/>
              </w:rPr>
              <w:t>（</w:t>
            </w:r>
            <w:r>
              <w:t>或光盘</w:t>
            </w:r>
            <w:r>
              <w:rPr>
                <w:rFonts w:hint="eastAsia"/>
                <w:lang w:eastAsia="zh-CN"/>
              </w:rPr>
              <w:t>）</w:t>
            </w:r>
            <w:r>
              <w:rPr>
                <w:rFonts w:hint="eastAsia"/>
                <w:lang w:val="en-US" w:eastAsia="zh-CN"/>
              </w:rPr>
              <w:t>1</w:t>
            </w:r>
            <w:r>
              <w:t>份。</w:t>
            </w:r>
          </w:p>
          <w:p w14:paraId="37481A92">
            <w:pPr>
              <w:pStyle w:val="13"/>
              <w:ind w:firstLine="0"/>
            </w:pPr>
            <w:r>
              <w:rPr>
                <w:b/>
              </w:rPr>
              <w:t>二、纸质</w:t>
            </w:r>
            <w:r>
              <w:rPr>
                <w:rFonts w:hint="eastAsia"/>
                <w:b/>
                <w:lang w:eastAsia="zh-CN"/>
              </w:rPr>
              <w:t>磋商</w:t>
            </w:r>
            <w:r>
              <w:rPr>
                <w:b/>
              </w:rPr>
              <w:t>文件：</w:t>
            </w:r>
            <w:r>
              <w:t>纸质</w:t>
            </w:r>
            <w:r>
              <w:rPr>
                <w:rFonts w:hint="eastAsia"/>
                <w:lang w:eastAsia="zh-CN"/>
              </w:rPr>
              <w:t>磋商</w:t>
            </w:r>
            <w:r>
              <w:t>文件正本</w:t>
            </w:r>
            <w:r>
              <w:rPr>
                <w:rFonts w:hint="eastAsia"/>
                <w:lang w:val="en-US" w:eastAsia="zh-CN"/>
              </w:rPr>
              <w:t>1</w:t>
            </w:r>
            <w:r>
              <w:t>份，纸质</w:t>
            </w:r>
            <w:r>
              <w:rPr>
                <w:rFonts w:hint="eastAsia"/>
                <w:lang w:eastAsia="zh-CN"/>
              </w:rPr>
              <w:t>磋商</w:t>
            </w:r>
            <w:r>
              <w:t>文件副本</w:t>
            </w:r>
            <w:r>
              <w:rPr>
                <w:rFonts w:hint="eastAsia"/>
                <w:lang w:val="en-US" w:eastAsia="zh-CN"/>
              </w:rPr>
              <w:t>1</w:t>
            </w:r>
            <w:r>
              <w:t>份。纸质</w:t>
            </w:r>
            <w:r>
              <w:rPr>
                <w:rFonts w:hint="eastAsia"/>
                <w:lang w:eastAsia="zh-CN"/>
              </w:rPr>
              <w:t>磋商</w:t>
            </w:r>
            <w:r>
              <w:t>文件应与电子</w:t>
            </w:r>
            <w:r>
              <w:rPr>
                <w:rFonts w:hint="eastAsia"/>
                <w:lang w:eastAsia="zh-CN"/>
              </w:rPr>
              <w:t>磋商</w:t>
            </w:r>
            <w:r>
              <w:t>文件一致（递交的纸质文件需密封完好，注明“正本”和“副本”字样，正本和副本分别封装。如果正本与副本不符，应以正本为准）。</w:t>
            </w:r>
          </w:p>
        </w:tc>
      </w:tr>
      <w:tr w14:paraId="401FE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CE54BC9">
            <w:pPr>
              <w:pStyle w:val="13"/>
            </w:pPr>
            <w:r>
              <w:t xml:space="preserve"> 11</w:t>
            </w:r>
          </w:p>
        </w:tc>
        <w:tc>
          <w:tcPr>
            <w:tcW w:w="2152" w:type="dxa"/>
          </w:tcPr>
          <w:p w14:paraId="6559B74C">
            <w:pPr>
              <w:pStyle w:val="13"/>
            </w:pPr>
            <w:r>
              <w:t>中标候选供应商推荐家数</w:t>
            </w:r>
          </w:p>
        </w:tc>
        <w:tc>
          <w:tcPr>
            <w:tcW w:w="5358" w:type="dxa"/>
          </w:tcPr>
          <w:p w14:paraId="107A9013">
            <w:pPr>
              <w:pStyle w:val="13"/>
            </w:pPr>
            <w:r>
              <w:rPr>
                <w:rFonts w:hint="eastAsia"/>
                <w:lang w:val="en-US" w:eastAsia="zh-CN"/>
              </w:rPr>
              <w:t>1</w:t>
            </w:r>
            <w:r>
              <w:t>家</w:t>
            </w:r>
          </w:p>
        </w:tc>
      </w:tr>
      <w:tr w14:paraId="7512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11A8542">
            <w:pPr>
              <w:pStyle w:val="13"/>
            </w:pPr>
            <w:r>
              <w:t>12</w:t>
            </w:r>
          </w:p>
        </w:tc>
        <w:tc>
          <w:tcPr>
            <w:tcW w:w="2152" w:type="dxa"/>
          </w:tcPr>
          <w:p w14:paraId="08BB1F31">
            <w:pPr>
              <w:pStyle w:val="13"/>
            </w:pPr>
            <w:r>
              <w:t>中标供应商数量</w:t>
            </w:r>
          </w:p>
        </w:tc>
        <w:tc>
          <w:tcPr>
            <w:tcW w:w="5358" w:type="dxa"/>
          </w:tcPr>
          <w:p w14:paraId="6637E228">
            <w:pPr>
              <w:pStyle w:val="13"/>
            </w:pPr>
            <w:r>
              <w:rPr>
                <w:rFonts w:hint="eastAsia"/>
                <w:lang w:val="en-US" w:eastAsia="zh-CN"/>
              </w:rPr>
              <w:t>1</w:t>
            </w:r>
            <w:r>
              <w:t>家</w:t>
            </w:r>
          </w:p>
        </w:tc>
      </w:tr>
      <w:tr w14:paraId="2AF1E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755FBBA">
            <w:pPr>
              <w:pStyle w:val="13"/>
            </w:pPr>
            <w:r>
              <w:t>13</w:t>
            </w:r>
          </w:p>
        </w:tc>
        <w:tc>
          <w:tcPr>
            <w:tcW w:w="2152" w:type="dxa"/>
          </w:tcPr>
          <w:p w14:paraId="4F74DBCF">
            <w:pPr>
              <w:pStyle w:val="13"/>
            </w:pPr>
            <w:r>
              <w:t>有效供应商家数</w:t>
            </w:r>
          </w:p>
        </w:tc>
        <w:tc>
          <w:tcPr>
            <w:tcW w:w="5358" w:type="dxa"/>
          </w:tcPr>
          <w:p w14:paraId="6E502039">
            <w:pPr>
              <w:pStyle w:val="13"/>
              <w:jc w:val="left"/>
            </w:pPr>
            <w:r>
              <w:t>3家</w:t>
            </w:r>
          </w:p>
          <w:p w14:paraId="61CC7FF9">
            <w:pPr>
              <w:pStyle w:val="13"/>
              <w:ind w:firstLine="0"/>
            </w:pPr>
            <w:r>
              <w:t>此人数约定了开标与评标过程中的最低有效供应商家数，当家数不足时项目将不得开标、不得评标或直接废标。</w:t>
            </w:r>
          </w:p>
        </w:tc>
      </w:tr>
      <w:tr w14:paraId="2E0F0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017EE55">
            <w:pPr>
              <w:pStyle w:val="13"/>
              <w:rPr>
                <w:rFonts w:hint="eastAsia" w:eastAsiaTheme="minorEastAsia"/>
                <w:lang w:eastAsia="zh-CN"/>
              </w:rPr>
            </w:pPr>
            <w:r>
              <w:t>1</w:t>
            </w:r>
            <w:r>
              <w:rPr>
                <w:rFonts w:hint="eastAsia"/>
                <w:lang w:val="en-US" w:eastAsia="zh-CN"/>
              </w:rPr>
              <w:t>4</w:t>
            </w:r>
          </w:p>
        </w:tc>
        <w:tc>
          <w:tcPr>
            <w:tcW w:w="2152" w:type="dxa"/>
          </w:tcPr>
          <w:p w14:paraId="623283AD">
            <w:pPr>
              <w:pStyle w:val="13"/>
            </w:pPr>
            <w:r>
              <w:t>中标供应商确定方式</w:t>
            </w:r>
          </w:p>
        </w:tc>
        <w:tc>
          <w:tcPr>
            <w:tcW w:w="5358" w:type="dxa"/>
          </w:tcPr>
          <w:p w14:paraId="4C7B55E7">
            <w:pPr>
              <w:pStyle w:val="13"/>
            </w:pPr>
            <w:r>
              <w:t>采购人按照评审报告中推荐的成交候选人确定中标（成交）人。</w:t>
            </w:r>
          </w:p>
        </w:tc>
      </w:tr>
      <w:tr w14:paraId="4C7EA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11FB72F">
            <w:pPr>
              <w:pStyle w:val="13"/>
            </w:pPr>
            <w:r>
              <w:t>18</w:t>
            </w:r>
          </w:p>
        </w:tc>
        <w:tc>
          <w:tcPr>
            <w:tcW w:w="2152" w:type="dxa"/>
          </w:tcPr>
          <w:p w14:paraId="051EF74D">
            <w:pPr>
              <w:pStyle w:val="13"/>
            </w:pPr>
            <w:r>
              <w:t>其他</w:t>
            </w:r>
          </w:p>
        </w:tc>
        <w:tc>
          <w:tcPr>
            <w:tcW w:w="5358" w:type="dxa"/>
          </w:tcPr>
          <w:p w14:paraId="4D8F5C7D"/>
        </w:tc>
      </w:tr>
    </w:tbl>
    <w:p w14:paraId="54F5D7E0">
      <w:pPr>
        <w:pStyle w:val="13"/>
        <w:outlineLvl w:val="2"/>
      </w:pPr>
      <w:r>
        <w:rPr>
          <w:b/>
          <w:sz w:val="28"/>
        </w:rPr>
        <w:t>三、说明</w:t>
      </w:r>
    </w:p>
    <w:p w14:paraId="002E7AF6">
      <w:pPr>
        <w:pStyle w:val="13"/>
        <w:outlineLvl w:val="3"/>
      </w:pPr>
      <w:r>
        <w:rPr>
          <w:b/>
          <w:sz w:val="24"/>
        </w:rPr>
        <w:t>1.总则</w:t>
      </w:r>
    </w:p>
    <w:p w14:paraId="6309559B">
      <w:pPr>
        <w:pStyle w:val="13"/>
        <w:ind w:firstLine="480"/>
      </w:pPr>
      <w:r>
        <w:t>投标人应仔细阅读本项目招标公告及招标文件的所有内容（包括变更、补充、澄清以及修改等，且均为招标文件的组成部分），按照招标文件要求以及格式编制</w:t>
      </w:r>
      <w:r>
        <w:rPr>
          <w:rFonts w:hint="eastAsia"/>
          <w:lang w:eastAsia="zh-CN"/>
        </w:rPr>
        <w:t>磋商</w:t>
      </w:r>
      <w:r>
        <w:t>文件，并保证其真实性，否则一切后果自负。</w:t>
      </w:r>
    </w:p>
    <w:p w14:paraId="2072F349">
      <w:pPr>
        <w:pStyle w:val="13"/>
        <w:outlineLvl w:val="3"/>
      </w:pPr>
      <w:r>
        <w:rPr>
          <w:b/>
          <w:sz w:val="24"/>
        </w:rPr>
        <w:t>2.适用范围</w:t>
      </w:r>
    </w:p>
    <w:p w14:paraId="3A9B8245">
      <w:pPr>
        <w:pStyle w:val="13"/>
        <w:ind w:firstLine="480"/>
      </w:pPr>
      <w:r>
        <w:t>本招标文件仅适用于本次招标公告中所涉及的项目和内容。</w:t>
      </w:r>
    </w:p>
    <w:p w14:paraId="541D7830">
      <w:pPr>
        <w:pStyle w:val="13"/>
        <w:outlineLvl w:val="3"/>
      </w:pPr>
      <w:r>
        <w:rPr>
          <w:rFonts w:hint="eastAsia"/>
          <w:b/>
          <w:sz w:val="24"/>
          <w:lang w:val="en-US" w:eastAsia="zh-CN"/>
        </w:rPr>
        <w:t>3</w:t>
      </w:r>
      <w:r>
        <w:rPr>
          <w:b/>
          <w:sz w:val="24"/>
        </w:rPr>
        <w:t>.</w:t>
      </w:r>
      <w:r>
        <w:rPr>
          <w:rFonts w:hint="eastAsia"/>
          <w:b/>
          <w:sz w:val="24"/>
          <w:lang w:eastAsia="zh-CN"/>
        </w:rPr>
        <w:t>磋商</w:t>
      </w:r>
      <w:r>
        <w:rPr>
          <w:b/>
          <w:sz w:val="24"/>
        </w:rPr>
        <w:t>的费用</w:t>
      </w:r>
    </w:p>
    <w:p w14:paraId="6BC7E059">
      <w:pPr>
        <w:pStyle w:val="13"/>
        <w:ind w:firstLine="480"/>
      </w:pPr>
      <w:r>
        <w:t>不论</w:t>
      </w:r>
      <w:r>
        <w:rPr>
          <w:rFonts w:hint="eastAsia"/>
          <w:lang w:eastAsia="zh-CN"/>
        </w:rPr>
        <w:t>磋商</w:t>
      </w:r>
      <w:r>
        <w:t>结果如何，投标人应承担所有与准备和参加</w:t>
      </w:r>
      <w:r>
        <w:rPr>
          <w:rFonts w:hint="eastAsia"/>
          <w:lang w:eastAsia="zh-CN"/>
        </w:rPr>
        <w:t>磋商</w:t>
      </w:r>
      <w:r>
        <w:t>有关的费用。</w:t>
      </w:r>
      <w:r>
        <w:rPr>
          <w:rFonts w:hint="eastAsia"/>
          <w:lang w:eastAsia="zh-CN"/>
        </w:rPr>
        <w:t>采购人</w:t>
      </w:r>
      <w:r>
        <w:t>和采购人均无义务和责任承担相关费用。</w:t>
      </w:r>
    </w:p>
    <w:p w14:paraId="009D749E">
      <w:pPr>
        <w:pStyle w:val="13"/>
        <w:outlineLvl w:val="3"/>
      </w:pPr>
      <w:r>
        <w:rPr>
          <w:rFonts w:hint="eastAsia"/>
          <w:b/>
          <w:sz w:val="24"/>
          <w:lang w:val="en-US" w:eastAsia="zh-CN"/>
        </w:rPr>
        <w:t>4</w:t>
      </w:r>
      <w:r>
        <w:rPr>
          <w:b/>
          <w:sz w:val="24"/>
        </w:rPr>
        <w:t>.纪律与保密事项</w:t>
      </w:r>
    </w:p>
    <w:p w14:paraId="663C69BD">
      <w:pPr>
        <w:pStyle w:val="13"/>
        <w:ind w:firstLine="480"/>
      </w:pPr>
      <w:r>
        <w:rPr>
          <w:rFonts w:hint="eastAsia"/>
          <w:lang w:val="en-US" w:eastAsia="zh-CN"/>
        </w:rPr>
        <w:t>4</w:t>
      </w:r>
      <w:r>
        <w:t>.1投标人不得相互串通</w:t>
      </w:r>
      <w:r>
        <w:rPr>
          <w:rFonts w:hint="eastAsia"/>
          <w:lang w:eastAsia="zh-CN"/>
        </w:rPr>
        <w:t>磋商</w:t>
      </w:r>
      <w:r>
        <w:t>报价，不得妨碍其他投标人的公平竞争，不得损害采购人或其他投标人的合法权益，投标人不得以向采购人、评标委员会成员行贿或者采取其他不正当手段谋取中标。</w:t>
      </w:r>
    </w:p>
    <w:p w14:paraId="3F54E134">
      <w:pPr>
        <w:pStyle w:val="13"/>
        <w:ind w:firstLine="480"/>
      </w:pPr>
      <w:r>
        <w:rPr>
          <w:rFonts w:hint="eastAsia"/>
          <w:lang w:val="en-US" w:eastAsia="zh-CN"/>
        </w:rPr>
        <w:t>4</w:t>
      </w:r>
      <w:r>
        <w:t>.2在确定中标供应商之前，投标人不得与采购人就</w:t>
      </w:r>
      <w:r>
        <w:rPr>
          <w:rFonts w:hint="eastAsia"/>
          <w:lang w:eastAsia="zh-CN"/>
        </w:rPr>
        <w:t>磋商</w:t>
      </w:r>
      <w:r>
        <w:t>价格、</w:t>
      </w:r>
      <w:r>
        <w:rPr>
          <w:rFonts w:hint="eastAsia"/>
          <w:lang w:eastAsia="zh-CN"/>
        </w:rPr>
        <w:t>磋商</w:t>
      </w:r>
      <w:r>
        <w:t>方案等实质性内容进行谈判，也不得私下接触评标委员会成员。</w:t>
      </w:r>
    </w:p>
    <w:p w14:paraId="45E3BB63">
      <w:pPr>
        <w:pStyle w:val="13"/>
        <w:ind w:firstLine="480"/>
      </w:pPr>
      <w:r>
        <w:rPr>
          <w:rFonts w:hint="eastAsia"/>
          <w:lang w:val="en-US" w:eastAsia="zh-CN"/>
        </w:rPr>
        <w:t>4</w:t>
      </w:r>
      <w:r>
        <w:t>.3在确定中标供应商之前，投标人试图在</w:t>
      </w:r>
      <w:r>
        <w:rPr>
          <w:rFonts w:hint="eastAsia"/>
          <w:lang w:eastAsia="zh-CN"/>
        </w:rPr>
        <w:t>磋商</w:t>
      </w:r>
      <w:r>
        <w:t>文件审查、澄清、比较和评价时对评标委员会、采购人和</w:t>
      </w:r>
      <w:r>
        <w:rPr>
          <w:rFonts w:hint="eastAsia"/>
          <w:lang w:eastAsia="zh-CN"/>
        </w:rPr>
        <w:t>采购人</w:t>
      </w:r>
      <w:r>
        <w:t>施加任何影响都可能导致其投标无效。</w:t>
      </w:r>
    </w:p>
    <w:p w14:paraId="040F83CA">
      <w:pPr>
        <w:pStyle w:val="13"/>
        <w:ind w:firstLine="480"/>
      </w:pPr>
      <w:r>
        <w:rPr>
          <w:rFonts w:hint="eastAsia"/>
          <w:lang w:val="en-US" w:eastAsia="zh-CN"/>
        </w:rPr>
        <w:t>4</w:t>
      </w:r>
      <w:r>
        <w:t>.4获得本招标文件者，须履行本项目</w:t>
      </w:r>
      <w:r>
        <w:rPr>
          <w:rFonts w:hint="eastAsia"/>
          <w:lang w:eastAsia="zh-CN"/>
        </w:rPr>
        <w:t>的</w:t>
      </w:r>
      <w:r>
        <w:t>保密义务，不得将因本次项目获得的信息向第三人外传，不得将招标文件用作本次投标以外的任何用途。</w:t>
      </w:r>
    </w:p>
    <w:p w14:paraId="7E457E10">
      <w:pPr>
        <w:pStyle w:val="13"/>
        <w:ind w:firstLine="480"/>
      </w:pPr>
      <w:r>
        <w:rPr>
          <w:rFonts w:hint="eastAsia"/>
          <w:lang w:val="en-US" w:eastAsia="zh-CN"/>
        </w:rPr>
        <w:t>4</w:t>
      </w:r>
      <w:r>
        <w:t>.5由采购人向投标人提供的图纸、详细资料、样品、模型、模件和所有</w:t>
      </w:r>
      <w:r>
        <w:rPr>
          <w:rFonts w:hint="eastAsia"/>
          <w:lang w:eastAsia="zh-CN"/>
        </w:rPr>
        <w:t>其他</w:t>
      </w:r>
      <w:r>
        <w:t>资料，均为保密资料，</w:t>
      </w:r>
      <w:r>
        <w:rPr>
          <w:rFonts w:hint="eastAsia"/>
          <w:lang w:eastAsia="zh-CN"/>
        </w:rPr>
        <w:t>仅</w:t>
      </w:r>
      <w:r>
        <w:t>用于它所规定的用途。除非得到采购人的同意，不能向任何第三方透露。开标结束后，应采购人要求，投标人应归还所有从采购人处获得的保密资料。</w:t>
      </w:r>
    </w:p>
    <w:p w14:paraId="2645BB49">
      <w:pPr>
        <w:pStyle w:val="13"/>
        <w:ind w:firstLine="480"/>
      </w:pPr>
      <w:r>
        <w:rPr>
          <w:rFonts w:hint="eastAsia"/>
          <w:lang w:val="en-US" w:eastAsia="zh-CN"/>
        </w:rPr>
        <w:t>4</w:t>
      </w:r>
      <w:r>
        <w:t>.6</w:t>
      </w:r>
      <w:r>
        <w:rPr>
          <w:rFonts w:hint="eastAsia"/>
          <w:lang w:eastAsia="zh-CN"/>
        </w:rPr>
        <w:t>采购人</w:t>
      </w:r>
      <w:r>
        <w:t>有权将供应商提供的所有资料向有关政府部门或评审小组披露。</w:t>
      </w:r>
    </w:p>
    <w:p w14:paraId="5392E464">
      <w:pPr>
        <w:pStyle w:val="13"/>
        <w:ind w:firstLine="480"/>
      </w:pPr>
      <w:r>
        <w:rPr>
          <w:rFonts w:hint="eastAsia"/>
          <w:lang w:val="en-US" w:eastAsia="zh-CN"/>
        </w:rPr>
        <w:t>4</w:t>
      </w:r>
      <w:r>
        <w:t>.7在</w:t>
      </w:r>
      <w:r>
        <w:rPr>
          <w:rFonts w:hint="eastAsia"/>
          <w:lang w:eastAsia="zh-CN"/>
        </w:rPr>
        <w:t>采购人</w:t>
      </w:r>
      <w:r>
        <w:t>认为适当时、国家机关调查、审查、审计时以及其他符合法律规定的情形下，</w:t>
      </w:r>
      <w:r>
        <w:rPr>
          <w:rFonts w:hint="eastAsia"/>
          <w:lang w:eastAsia="zh-CN"/>
        </w:rPr>
        <w:t>采购人</w:t>
      </w:r>
      <w:r>
        <w:t>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6F0347B">
      <w:pPr>
        <w:pStyle w:val="13"/>
        <w:outlineLvl w:val="2"/>
      </w:pPr>
      <w:r>
        <w:rPr>
          <w:b/>
          <w:sz w:val="28"/>
        </w:rPr>
        <w:t>四、招标文件的澄清和修改</w:t>
      </w:r>
    </w:p>
    <w:p w14:paraId="49DBFD26">
      <w:pPr>
        <w:pStyle w:val="13"/>
        <w:ind w:firstLine="480"/>
      </w:pPr>
      <w:r>
        <w:t>1.</w:t>
      </w:r>
      <w:r>
        <w:rPr>
          <w:rFonts w:hint="eastAsia"/>
          <w:lang w:eastAsia="zh-CN"/>
        </w:rPr>
        <w:t>采购人</w:t>
      </w:r>
      <w:r>
        <w:t>对招标文件进行必要的澄清或者修改的，在指定媒体上发布更正公告。</w:t>
      </w:r>
    </w:p>
    <w:p w14:paraId="44588019">
      <w:pPr>
        <w:pStyle w:val="13"/>
        <w:ind w:firstLine="480"/>
      </w:pPr>
      <w:r>
        <w:t>2.更正公告及其所发布的内容或信息（包括但不限于：招标文件的澄清或修改、现场考察或答疑会的有关事宜等）作为招标文件的组成部分，对投标人具有约束力。</w:t>
      </w:r>
    </w:p>
    <w:p w14:paraId="3C34A453">
      <w:pPr>
        <w:pStyle w:val="13"/>
        <w:outlineLvl w:val="2"/>
      </w:pPr>
      <w:r>
        <w:rPr>
          <w:rFonts w:hint="eastAsia"/>
          <w:b/>
          <w:sz w:val="28"/>
          <w:lang w:val="en-US" w:eastAsia="zh-CN"/>
        </w:rPr>
        <w:t>五</w:t>
      </w:r>
      <w:r>
        <w:rPr>
          <w:b/>
          <w:sz w:val="28"/>
        </w:rPr>
        <w:t>、开标、评标和定标</w:t>
      </w:r>
    </w:p>
    <w:p w14:paraId="5DED0E42">
      <w:pPr>
        <w:pStyle w:val="13"/>
        <w:outlineLvl w:val="3"/>
      </w:pPr>
      <w:r>
        <w:rPr>
          <w:b/>
          <w:sz w:val="24"/>
        </w:rPr>
        <w:t>1.开标</w:t>
      </w:r>
    </w:p>
    <w:p w14:paraId="77F9F6DE">
      <w:pPr>
        <w:pStyle w:val="13"/>
        <w:outlineLvl w:val="3"/>
      </w:pPr>
      <w:r>
        <w:rPr>
          <w:b/>
          <w:sz w:val="24"/>
        </w:rPr>
        <w:t>2.评审（详见第四章）</w:t>
      </w:r>
    </w:p>
    <w:p w14:paraId="19ABBA4A">
      <w:pPr>
        <w:pStyle w:val="13"/>
        <w:outlineLvl w:val="3"/>
      </w:pPr>
      <w:r>
        <w:rPr>
          <w:b/>
          <w:sz w:val="24"/>
        </w:rPr>
        <w:t>3.定标</w:t>
      </w:r>
    </w:p>
    <w:p w14:paraId="038BFD52">
      <w:pPr>
        <w:pStyle w:val="13"/>
        <w:ind w:firstLine="480"/>
      </w:pPr>
      <w:r>
        <w:t>3.1中标公告：</w:t>
      </w:r>
    </w:p>
    <w:p w14:paraId="762052AB">
      <w:pPr>
        <w:pStyle w:val="13"/>
        <w:ind w:firstLine="480"/>
      </w:pPr>
      <w:r>
        <w:t>中标供应商确定之日起</w:t>
      </w:r>
      <w:r>
        <w:rPr>
          <w:rFonts w:hint="eastAsia"/>
          <w:lang w:val="en-US" w:eastAsia="zh-CN"/>
        </w:rPr>
        <w:t>3</w:t>
      </w:r>
      <w:r>
        <w:t>个工作日内，</w:t>
      </w:r>
      <w:r>
        <w:rPr>
          <w:rFonts w:hint="eastAsia"/>
          <w:lang w:eastAsia="zh-CN"/>
        </w:rPr>
        <w:t>采购人</w:t>
      </w:r>
      <w:r>
        <w:t>将在</w:t>
      </w:r>
      <w:r>
        <w:rPr>
          <w:rFonts w:hint="eastAsia"/>
          <w:lang w:val="en-US" w:eastAsia="zh-CN"/>
        </w:rPr>
        <w:t>广东省生殖科学研究所（广东省生殖医院）官网（https://www.gdszjk.org.cn）</w:t>
      </w:r>
      <w:r>
        <w:t>上以公告的形式发布中标结果，中标公告的公告期限为 1 个工作日。中标公告同时作为</w:t>
      </w:r>
      <w:r>
        <w:rPr>
          <w:rFonts w:hint="eastAsia"/>
          <w:lang w:eastAsia="zh-CN"/>
        </w:rPr>
        <w:t>采购人</w:t>
      </w:r>
      <w:r>
        <w:t>通知除中标供应商外的其他投标人没有中标的书面形式，</w:t>
      </w:r>
      <w:r>
        <w:rPr>
          <w:rFonts w:hint="eastAsia"/>
          <w:lang w:eastAsia="zh-CN"/>
        </w:rPr>
        <w:t>采购人</w:t>
      </w:r>
      <w:r>
        <w:t>不再</w:t>
      </w:r>
      <w:r>
        <w:rPr>
          <w:rFonts w:hint="eastAsia"/>
          <w:lang w:eastAsia="zh-CN"/>
        </w:rPr>
        <w:t>以其他方式</w:t>
      </w:r>
      <w:r>
        <w:t>另行通知。</w:t>
      </w:r>
    </w:p>
    <w:p w14:paraId="3A510BE3">
      <w:pPr>
        <w:pStyle w:val="13"/>
        <w:ind w:firstLine="480"/>
      </w:pPr>
      <w:r>
        <w:t>3.2中标通知书：</w:t>
      </w:r>
    </w:p>
    <w:p w14:paraId="32E30F98">
      <w:pPr>
        <w:pStyle w:val="13"/>
        <w:ind w:firstLine="480"/>
      </w:pPr>
      <w:r>
        <w:t>中标通知书在发布中标公告时，同步发送至中标供应商。《中标通知书》将作为授予合同资格的唯一合法依据。中标通知书发出后，采购人不得违法改变中标结果，中标供应商不得放弃中标。中标供应商放弃中标的，应当依法承担相应的法律责任。</w:t>
      </w:r>
    </w:p>
    <w:p w14:paraId="0F309355">
      <w:pPr>
        <w:pStyle w:val="13"/>
        <w:ind w:firstLine="480"/>
      </w:pPr>
      <w:r>
        <w:t>3.3终止公告：</w:t>
      </w:r>
    </w:p>
    <w:p w14:paraId="20042B4E">
      <w:pPr>
        <w:pStyle w:val="13"/>
        <w:ind w:firstLine="480"/>
      </w:pPr>
      <w:r>
        <w:t>项目废标后，</w:t>
      </w:r>
      <w:r>
        <w:rPr>
          <w:rFonts w:hint="eastAsia"/>
          <w:lang w:eastAsia="zh-CN"/>
        </w:rPr>
        <w:t>采购人</w:t>
      </w:r>
      <w:r>
        <w:t>将在</w:t>
      </w:r>
      <w:r>
        <w:rPr>
          <w:rFonts w:hint="eastAsia"/>
          <w:lang w:val="en-US" w:eastAsia="zh-CN"/>
        </w:rPr>
        <w:t>广东省生殖科学研究所（广东省生殖医院）官网（https://www.gdszjk.org.cn）</w:t>
      </w:r>
      <w:r>
        <w:t>上发布终止公告，终止公告的公告期限为1个工作日。</w:t>
      </w:r>
    </w:p>
    <w:p w14:paraId="1C9133E5">
      <w:pPr>
        <w:pStyle w:val="13"/>
        <w:outlineLvl w:val="2"/>
      </w:pPr>
      <w:r>
        <w:rPr>
          <w:b/>
          <w:sz w:val="28"/>
        </w:rPr>
        <w:t>七、询问、质疑与投诉</w:t>
      </w:r>
    </w:p>
    <w:p w14:paraId="2F1571EB">
      <w:pPr>
        <w:pStyle w:val="13"/>
        <w:outlineLvl w:val="3"/>
      </w:pPr>
      <w:r>
        <w:rPr>
          <w:b/>
          <w:sz w:val="24"/>
        </w:rPr>
        <w:t>1.询问</w:t>
      </w:r>
    </w:p>
    <w:p w14:paraId="2BA4674A">
      <w:pPr>
        <w:pStyle w:val="13"/>
        <w:ind w:firstLine="480"/>
      </w:pPr>
      <w:r>
        <w:t>投标人对招标文件、采购过程和中标结果有疑问的，可以向</w:t>
      </w:r>
      <w:r>
        <w:rPr>
          <w:rFonts w:hint="eastAsia"/>
          <w:lang w:eastAsia="zh-CN"/>
        </w:rPr>
        <w:t>采购人</w:t>
      </w:r>
      <w:r>
        <w:t>提出询问，</w:t>
      </w:r>
      <w:r>
        <w:rPr>
          <w:rFonts w:hint="eastAsia"/>
          <w:lang w:eastAsia="zh-CN"/>
        </w:rPr>
        <w:t>采购人</w:t>
      </w:r>
      <w:r>
        <w:t>将及时作出答复，但答复的内容不涉及商业秘密。询问可以口头方式提出，也可以书面方式提出，书面方式包括但不限于传真、信函、电子邮件。联系方式见《投标邀请函》中“</w:t>
      </w:r>
      <w:r>
        <w:rPr>
          <w:rFonts w:hint="eastAsia"/>
          <w:lang w:eastAsia="zh-CN"/>
        </w:rPr>
        <w:t>采购人</w:t>
      </w:r>
      <w:r>
        <w:t>的名称、地址和联系方式”。</w:t>
      </w:r>
    </w:p>
    <w:p w14:paraId="0F05FE90">
      <w:pPr>
        <w:pStyle w:val="13"/>
        <w:outlineLvl w:val="3"/>
      </w:pPr>
      <w:r>
        <w:rPr>
          <w:b/>
          <w:sz w:val="24"/>
        </w:rPr>
        <w:t>2.质疑</w:t>
      </w:r>
    </w:p>
    <w:p w14:paraId="6F85E96A">
      <w:pPr>
        <w:pStyle w:val="13"/>
        <w:ind w:firstLine="480"/>
      </w:pPr>
      <w:r>
        <w:rPr>
          <w:rFonts w:hint="eastAsia"/>
          <w:lang w:val="en-US" w:eastAsia="zh-CN"/>
        </w:rPr>
        <w:t>2</w:t>
      </w:r>
      <w:r>
        <w:t>.1供应商认为招标文件、采购过程和中标结果使自己的权益受到损害的，可以在知道或者应知其权益受到损害之日起七个工作日内，以书面原件形式向</w:t>
      </w:r>
      <w:r>
        <w:rPr>
          <w:rFonts w:hint="eastAsia"/>
          <w:lang w:eastAsia="zh-CN"/>
        </w:rPr>
        <w:t>采购人</w:t>
      </w:r>
      <w:r>
        <w:t>一次性提出针对同一采购程序环节的质疑，逾期质疑无效。供应商应知其权益受到损害之日是指：</w:t>
      </w:r>
    </w:p>
    <w:p w14:paraId="5169D21B">
      <w:pPr>
        <w:pStyle w:val="13"/>
        <w:ind w:firstLine="480"/>
      </w:pPr>
      <w:r>
        <w:rPr>
          <w:rFonts w:hint="eastAsia"/>
          <w:lang w:eastAsia="zh-CN"/>
        </w:rPr>
        <w:t>（</w:t>
      </w:r>
      <w:r>
        <w:t>1</w:t>
      </w:r>
      <w:r>
        <w:rPr>
          <w:rFonts w:hint="eastAsia"/>
          <w:lang w:eastAsia="zh-CN"/>
        </w:rPr>
        <w:t>）</w:t>
      </w:r>
      <w:r>
        <w:t>对招标文件提出质疑的，为获取招标文件之日或者招标文件公告期限届满之日；</w:t>
      </w:r>
    </w:p>
    <w:p w14:paraId="741014C7">
      <w:pPr>
        <w:pStyle w:val="13"/>
        <w:ind w:firstLine="480"/>
      </w:pPr>
      <w:r>
        <w:rPr>
          <w:rFonts w:hint="eastAsia"/>
          <w:lang w:eastAsia="zh-CN"/>
        </w:rPr>
        <w:t>（</w:t>
      </w:r>
      <w:r>
        <w:t>2</w:t>
      </w:r>
      <w:r>
        <w:rPr>
          <w:rFonts w:hint="eastAsia"/>
          <w:lang w:eastAsia="zh-CN"/>
        </w:rPr>
        <w:t>）</w:t>
      </w:r>
      <w:r>
        <w:t>对采购过程提出质疑的，为各采购程序环节结束之日；</w:t>
      </w:r>
    </w:p>
    <w:p w14:paraId="6F217957">
      <w:pPr>
        <w:pStyle w:val="13"/>
        <w:ind w:firstLine="480"/>
      </w:pPr>
      <w:r>
        <w:rPr>
          <w:rFonts w:hint="eastAsia"/>
          <w:lang w:eastAsia="zh-CN"/>
        </w:rPr>
        <w:t>（</w:t>
      </w:r>
      <w:r>
        <w:t>3</w:t>
      </w:r>
      <w:r>
        <w:rPr>
          <w:rFonts w:hint="eastAsia"/>
          <w:lang w:eastAsia="zh-CN"/>
        </w:rPr>
        <w:t>）</w:t>
      </w:r>
      <w:r>
        <w:t>对中标结果提出质疑的，为中标结果公告期限届满之日。</w:t>
      </w:r>
    </w:p>
    <w:p w14:paraId="4C9D72E9">
      <w:pPr>
        <w:pStyle w:val="13"/>
        <w:ind w:firstLine="480"/>
      </w:pPr>
      <w:r>
        <w:t>2.2质疑函应当包括下列主要内容：</w:t>
      </w:r>
    </w:p>
    <w:p w14:paraId="727BED04">
      <w:pPr>
        <w:pStyle w:val="13"/>
        <w:ind w:firstLine="480"/>
      </w:pPr>
      <w:r>
        <w:rPr>
          <w:rFonts w:hint="eastAsia"/>
          <w:lang w:eastAsia="zh-CN"/>
        </w:rPr>
        <w:t>（</w:t>
      </w:r>
      <w:r>
        <w:t>1</w:t>
      </w:r>
      <w:r>
        <w:rPr>
          <w:rFonts w:hint="eastAsia"/>
          <w:lang w:eastAsia="zh-CN"/>
        </w:rPr>
        <w:t>）</w:t>
      </w:r>
      <w:r>
        <w:t>质疑供应商和相关供应商的名称、地址、邮编、联系人及联系电话等；</w:t>
      </w:r>
    </w:p>
    <w:p w14:paraId="0527AE58">
      <w:pPr>
        <w:pStyle w:val="13"/>
        <w:ind w:firstLine="480"/>
      </w:pPr>
      <w:r>
        <w:rPr>
          <w:rFonts w:hint="eastAsia"/>
          <w:lang w:eastAsia="zh-CN"/>
        </w:rPr>
        <w:t>（</w:t>
      </w:r>
      <w:r>
        <w:t>2</w:t>
      </w:r>
      <w:r>
        <w:rPr>
          <w:rFonts w:hint="eastAsia"/>
          <w:lang w:eastAsia="zh-CN"/>
        </w:rPr>
        <w:t>）</w:t>
      </w:r>
      <w:r>
        <w:t>质疑项目名称、具体明确的质疑事项和与质疑事项相关的请求；</w:t>
      </w:r>
    </w:p>
    <w:p w14:paraId="3A3F8282">
      <w:pPr>
        <w:pStyle w:val="13"/>
        <w:ind w:firstLine="480"/>
      </w:pPr>
      <w:r>
        <w:rPr>
          <w:rFonts w:hint="eastAsia"/>
          <w:lang w:eastAsia="zh-CN"/>
        </w:rPr>
        <w:t>（</w:t>
      </w:r>
      <w:r>
        <w:t>3</w:t>
      </w:r>
      <w:r>
        <w:rPr>
          <w:rFonts w:hint="eastAsia"/>
          <w:lang w:eastAsia="zh-CN"/>
        </w:rPr>
        <w:t>）</w:t>
      </w:r>
      <w:r>
        <w:t>认为采购文件、采购过程、中标和成交结果使自己的合法权益受到损害的法律依据、事实依据、相关证明材料及证据来源；</w:t>
      </w:r>
    </w:p>
    <w:p w14:paraId="17470EE8">
      <w:pPr>
        <w:pStyle w:val="13"/>
        <w:ind w:firstLine="480"/>
      </w:pPr>
      <w:r>
        <w:rPr>
          <w:rFonts w:hint="eastAsia"/>
          <w:lang w:eastAsia="zh-CN"/>
        </w:rPr>
        <w:t>（</w:t>
      </w:r>
      <w:r>
        <w:t>4</w:t>
      </w:r>
      <w:r>
        <w:rPr>
          <w:rFonts w:hint="eastAsia"/>
          <w:lang w:eastAsia="zh-CN"/>
        </w:rPr>
        <w:t>）</w:t>
      </w:r>
      <w:r>
        <w:t>提出质疑的日期。</w:t>
      </w:r>
    </w:p>
    <w:p w14:paraId="687FEA2F">
      <w:pPr>
        <w:pStyle w:val="13"/>
        <w:ind w:firstLine="480"/>
      </w:pPr>
      <w:r>
        <w:t>2.3 质疑函应当署名。质疑供应商为自然人的，应当由本人签字；质疑供应商为法人或者其他组织的，应当由法定代表人、主要负责人，或者其授权代表签字或者盖章，并加盖公章。</w:t>
      </w:r>
    </w:p>
    <w:p w14:paraId="79C9C3B7">
      <w:pPr>
        <w:pStyle w:val="13"/>
        <w:ind w:firstLine="480"/>
      </w:pPr>
      <w:r>
        <w:t>2.4以联合体形式参加政府采购活动的，其质疑应当由联合体成员委托主体提出。</w:t>
      </w:r>
    </w:p>
    <w:p w14:paraId="63843F87">
      <w:pPr>
        <w:pStyle w:val="13"/>
        <w:ind w:firstLine="480"/>
      </w:pPr>
      <w:r>
        <w:t xml:space="preserve"> 2.5供应商质疑应当有明确的请求和必要的证明材料。质疑内容不得含有虚假、恶意</w:t>
      </w:r>
      <w:r>
        <w:rPr>
          <w:rFonts w:hint="eastAsia"/>
          <w:lang w:eastAsia="zh-CN"/>
        </w:rPr>
        <w:t>成分</w:t>
      </w:r>
      <w:r>
        <w:t>。依照谁主张谁举证的原则，提出质疑者必须同时提交相关确凿的证据材料和注明证据的确切来源，证据来源必须合法，</w:t>
      </w:r>
      <w:r>
        <w:rPr>
          <w:rFonts w:hint="eastAsia"/>
          <w:lang w:eastAsia="zh-CN"/>
        </w:rPr>
        <w:t>采购人</w:t>
      </w:r>
      <w:r>
        <w:t>有权将质疑函转发质疑事项各关联方，请其作出解释说明。对捏造事实、滥用维权扰乱采购秩序的恶意质疑者，将上报政府采购监督管理部门依法处理。</w:t>
      </w:r>
    </w:p>
    <w:p w14:paraId="4EC27071">
      <w:pPr>
        <w:pStyle w:val="13"/>
        <w:ind w:firstLine="480"/>
      </w:pPr>
      <w:r>
        <w:t>2.6质疑联系方式如下：</w:t>
      </w:r>
    </w:p>
    <w:p w14:paraId="75AD3CD6">
      <w:pPr>
        <w:pStyle w:val="13"/>
        <w:ind w:firstLine="480"/>
        <w:rPr>
          <w:rFonts w:hint="eastAsia" w:eastAsiaTheme="minorEastAsia"/>
          <w:lang w:eastAsia="zh-CN"/>
        </w:rPr>
      </w:pPr>
      <w:r>
        <w:t>质疑联系人：</w:t>
      </w:r>
      <w:r>
        <w:rPr>
          <w:rFonts w:hint="eastAsia"/>
          <w:lang w:val="en-US" w:eastAsia="zh-CN"/>
        </w:rPr>
        <w:t>张老师</w:t>
      </w:r>
    </w:p>
    <w:p w14:paraId="6559691E">
      <w:pPr>
        <w:pStyle w:val="13"/>
        <w:ind w:firstLine="480"/>
        <w:rPr>
          <w:rFonts w:hint="default" w:eastAsiaTheme="minorEastAsia"/>
          <w:lang w:val="en-US" w:eastAsia="zh-CN"/>
        </w:rPr>
      </w:pPr>
      <w:r>
        <w:t>电话：020-</w:t>
      </w:r>
      <w:r>
        <w:rPr>
          <w:rFonts w:hint="eastAsia"/>
          <w:lang w:val="en-US" w:eastAsia="zh-CN"/>
        </w:rPr>
        <w:t>87693502</w:t>
      </w:r>
    </w:p>
    <w:p w14:paraId="0E51F3B2">
      <w:pPr>
        <w:pStyle w:val="13"/>
        <w:ind w:firstLine="480"/>
      </w:pPr>
      <w:r>
        <w:t>邮箱：</w:t>
      </w:r>
      <w:r>
        <w:rPr>
          <w:rFonts w:hint="eastAsia"/>
        </w:rPr>
        <w:t>bgs@gdszjk.org.cn</w:t>
      </w:r>
      <w:r>
        <w:rPr>
          <w:rFonts w:hint="eastAsia"/>
          <w:lang w:eastAsia="zh-CN"/>
        </w:rPr>
        <w:t>（</w:t>
      </w:r>
      <w:r>
        <w:t>推荐使用）</w:t>
      </w:r>
    </w:p>
    <w:p w14:paraId="31EFDD1E">
      <w:pPr>
        <w:pStyle w:val="13"/>
        <w:ind w:firstLine="480"/>
        <w:rPr>
          <w:rFonts w:hint="default" w:eastAsiaTheme="minorEastAsia"/>
          <w:lang w:val="en-US" w:eastAsia="zh-CN"/>
        </w:rPr>
      </w:pPr>
      <w:r>
        <w:t>地址：广州市越秀区</w:t>
      </w:r>
      <w:r>
        <w:rPr>
          <w:rFonts w:hint="eastAsia"/>
          <w:lang w:val="en-US" w:eastAsia="zh-CN"/>
        </w:rPr>
        <w:t>梅东路17号</w:t>
      </w:r>
    </w:p>
    <w:p w14:paraId="339A0553">
      <w:pPr>
        <w:pStyle w:val="13"/>
        <w:outlineLvl w:val="2"/>
      </w:pPr>
      <w:r>
        <w:rPr>
          <w:b/>
          <w:sz w:val="28"/>
        </w:rPr>
        <w:t>八、合同签订和履行</w:t>
      </w:r>
    </w:p>
    <w:p w14:paraId="53F6218E">
      <w:pPr>
        <w:pStyle w:val="13"/>
        <w:outlineLvl w:val="3"/>
      </w:pPr>
      <w:r>
        <w:rPr>
          <w:b/>
          <w:sz w:val="24"/>
        </w:rPr>
        <w:t>1.合同签订</w:t>
      </w:r>
    </w:p>
    <w:p w14:paraId="0AA6AA61">
      <w:pPr>
        <w:pStyle w:val="13"/>
        <w:ind w:firstLine="480"/>
      </w:pPr>
      <w:r>
        <w:t xml:space="preserve"> 1.1采购人应当自《中标通知书》发出之日起三十日内，按照招标文件和中标供应商</w:t>
      </w:r>
      <w:r>
        <w:rPr>
          <w:rFonts w:hint="eastAsia"/>
          <w:lang w:eastAsia="zh-CN"/>
        </w:rPr>
        <w:t>磋商文件</w:t>
      </w:r>
      <w:r>
        <w:t>的约定，与中标供应商签订合同。所签订的合同不得对招标文件和中标供应商</w:t>
      </w:r>
      <w:r>
        <w:rPr>
          <w:rFonts w:hint="eastAsia"/>
          <w:lang w:eastAsia="zh-CN"/>
        </w:rPr>
        <w:t>磋商文件</w:t>
      </w:r>
      <w:r>
        <w:t>作实质性修改。</w:t>
      </w:r>
    </w:p>
    <w:p w14:paraId="57C1D316">
      <w:pPr>
        <w:pStyle w:val="13"/>
        <w:ind w:firstLine="480"/>
      </w:pPr>
      <w:r>
        <w:t>1.2合同条款中应规定，乙方完全遵守《中华人民共和国民法典》有关规定和《中华人民共和国妇女权益保障法》中关于“劳动和社会保障权益”的有关要求。</w:t>
      </w:r>
    </w:p>
    <w:p w14:paraId="3F3C55D4">
      <w:pPr>
        <w:pStyle w:val="13"/>
        <w:outlineLvl w:val="3"/>
      </w:pPr>
      <w:r>
        <w:rPr>
          <w:b/>
          <w:sz w:val="24"/>
        </w:rPr>
        <w:t>2.合同的履行</w:t>
      </w:r>
    </w:p>
    <w:p w14:paraId="3DE72EF8">
      <w:pPr>
        <w:pStyle w:val="13"/>
        <w:ind w:firstLine="480"/>
      </w:pPr>
      <w:r>
        <w:t>2.1合同订立后，合同各方不得擅自变更、中止或者终止合同。</w:t>
      </w:r>
    </w:p>
    <w:p w14:paraId="01832415">
      <w:pPr>
        <w:pStyle w:val="13"/>
        <w:ind w:firstLine="480"/>
      </w:pPr>
      <w:r>
        <w:t>2.2合同履行中，采购人需追加与合同标的相同的货物、工程或者服务的，在不改变合同其他条款的前提下，可以与成交供应商签订补充合同，但所补充合同的采购金额不得超过原采购金额的10%。</w:t>
      </w:r>
    </w:p>
    <w:p w14:paraId="097B0603">
      <w:pPr>
        <w:pStyle w:val="13"/>
      </w:pPr>
    </w:p>
    <w:p w14:paraId="6CCCD89C">
      <w:pPr>
        <w:rPr>
          <w:b/>
          <w:sz w:val="36"/>
        </w:rPr>
      </w:pPr>
      <w:r>
        <w:rPr>
          <w:b/>
          <w:sz w:val="36"/>
        </w:rPr>
        <w:br w:type="page"/>
      </w:r>
    </w:p>
    <w:p w14:paraId="12FA40A8">
      <w:pPr>
        <w:pStyle w:val="13"/>
        <w:jc w:val="center"/>
        <w:outlineLvl w:val="1"/>
      </w:pPr>
      <w:r>
        <w:rPr>
          <w:b/>
          <w:sz w:val="36"/>
        </w:rPr>
        <w:t>第四章 评标</w:t>
      </w:r>
    </w:p>
    <w:p w14:paraId="11E7CB8A">
      <w:pPr>
        <w:pStyle w:val="13"/>
        <w:outlineLvl w:val="2"/>
      </w:pPr>
      <w:r>
        <w:rPr>
          <w:b/>
          <w:sz w:val="28"/>
        </w:rPr>
        <w:t>一、评标要求</w:t>
      </w:r>
    </w:p>
    <w:p w14:paraId="59CF5D9F">
      <w:pPr>
        <w:pStyle w:val="13"/>
        <w:outlineLvl w:val="3"/>
      </w:pPr>
      <w:r>
        <w:rPr>
          <w:b/>
          <w:sz w:val="24"/>
        </w:rPr>
        <w:t>1.评标方法</w:t>
      </w:r>
    </w:p>
    <w:p w14:paraId="784E022D">
      <w:pPr>
        <w:pStyle w:val="13"/>
        <w:ind w:firstLine="400" w:firstLineChars="200"/>
      </w:pPr>
      <w:r>
        <w:t>综合评分法</w:t>
      </w:r>
      <w:r>
        <w:rPr>
          <w:rFonts w:hint="eastAsia"/>
          <w:lang w:eastAsia="zh-CN"/>
        </w:rPr>
        <w:t>，</w:t>
      </w:r>
      <w:r>
        <w:t>是指</w:t>
      </w:r>
      <w:r>
        <w:rPr>
          <w:rFonts w:hint="eastAsia"/>
          <w:lang w:eastAsia="zh-CN"/>
        </w:rPr>
        <w:t>磋商文件</w:t>
      </w:r>
      <w:r>
        <w:t>满足招标文件全部实质性要求，且按照评审因素的量化指标评审得分最高的投标人为中标候选人的评标方法。（最低报价不是中标的唯一依据。）</w:t>
      </w:r>
    </w:p>
    <w:p w14:paraId="21EED718">
      <w:pPr>
        <w:pStyle w:val="13"/>
        <w:outlineLvl w:val="3"/>
      </w:pPr>
      <w:r>
        <w:rPr>
          <w:b/>
          <w:sz w:val="24"/>
        </w:rPr>
        <w:t>2.评标原则</w:t>
      </w:r>
    </w:p>
    <w:p w14:paraId="6A738366">
      <w:pPr>
        <w:pStyle w:val="13"/>
        <w:ind w:firstLine="480"/>
      </w:pPr>
      <w:r>
        <w:t>2.1评标活动遵循公平、公正、科学和择优的原则，以招标文件和</w:t>
      </w:r>
      <w:r>
        <w:rPr>
          <w:rFonts w:hint="eastAsia"/>
          <w:lang w:eastAsia="zh-CN"/>
        </w:rPr>
        <w:t>磋商文件</w:t>
      </w:r>
      <w:r>
        <w:t>为评标的基本依据，并按照招标文件规定的评标方法和评标标准进行评标。</w:t>
      </w:r>
    </w:p>
    <w:p w14:paraId="313276A5">
      <w:pPr>
        <w:pStyle w:val="13"/>
        <w:ind w:firstLine="480"/>
      </w:pPr>
      <w:r>
        <w:t>2.2具体评标事项由评标委员会负责，并按招标文件的规定办法进行评审。</w:t>
      </w:r>
    </w:p>
    <w:p w14:paraId="2C534453">
      <w:pPr>
        <w:pStyle w:val="13"/>
        <w:ind w:firstLine="480"/>
      </w:pPr>
      <w:r>
        <w:t>2.3合格投标人不足须知前附表中约定的有效供应商家数的，不得评标。</w:t>
      </w:r>
    </w:p>
    <w:p w14:paraId="410A9F17">
      <w:pPr>
        <w:pStyle w:val="13"/>
        <w:outlineLvl w:val="3"/>
      </w:pPr>
      <w:r>
        <w:rPr>
          <w:b/>
          <w:sz w:val="24"/>
        </w:rPr>
        <w:t>3.评标委员会</w:t>
      </w:r>
    </w:p>
    <w:p w14:paraId="54E7FD18">
      <w:pPr>
        <w:pStyle w:val="13"/>
        <w:ind w:firstLine="480"/>
      </w:pPr>
      <w:r>
        <w:t>3.1评标委员会由采购人代表和评审专家组成，成员人数应当为5人及以上单数，其中评审专家不得少于成员总数的三分之二。</w:t>
      </w:r>
    </w:p>
    <w:p w14:paraId="41FF1171">
      <w:pPr>
        <w:pStyle w:val="13"/>
        <w:ind w:firstLine="480"/>
      </w:pPr>
      <w:r>
        <w:t>3.2评标应遵守下列评标纪律：</w:t>
      </w:r>
    </w:p>
    <w:p w14:paraId="1D4178BE">
      <w:pPr>
        <w:pStyle w:val="13"/>
        <w:ind w:firstLine="480"/>
      </w:pPr>
      <w:r>
        <w:t>（1）评标情况不得私自外泄。</w:t>
      </w:r>
    </w:p>
    <w:p w14:paraId="2E1EEAA7">
      <w:pPr>
        <w:pStyle w:val="13"/>
        <w:ind w:firstLine="480"/>
      </w:pPr>
      <w:r>
        <w:t>（2）对投标人提供的要求保密的资料，不得摘记翻印和外传。</w:t>
      </w:r>
    </w:p>
    <w:p w14:paraId="12983A21">
      <w:pPr>
        <w:pStyle w:val="13"/>
        <w:ind w:firstLine="480"/>
      </w:pPr>
      <w:r>
        <w:t>（3）不得收受投标供应商或有关人员的任何礼物，不得串联鼓动其他人袒护某投标人。若与投标人存在利害关系，则应主动声明并回避。</w:t>
      </w:r>
    </w:p>
    <w:p w14:paraId="2CF0D15D">
      <w:pPr>
        <w:pStyle w:val="13"/>
        <w:ind w:firstLine="480"/>
      </w:pPr>
      <w:r>
        <w:t>（4）全体评委应按照招标文件规定进行评标，一切认定事项应查有实据且不得弄虚作假。</w:t>
      </w:r>
    </w:p>
    <w:p w14:paraId="22A38916">
      <w:pPr>
        <w:pStyle w:val="13"/>
        <w:ind w:firstLine="480"/>
      </w:pPr>
      <w:r>
        <w:t>（5）评标委员会各成员应当独立对每个投标人的</w:t>
      </w:r>
      <w:r>
        <w:rPr>
          <w:rFonts w:hint="eastAsia"/>
          <w:lang w:eastAsia="zh-CN"/>
        </w:rPr>
        <w:t>磋商文件</w:t>
      </w:r>
      <w:r>
        <w:t>进行评价，并对评价意见承担个人责任。评审过程中，不得发表倾向性言论。</w:t>
      </w:r>
    </w:p>
    <w:p w14:paraId="226168B0">
      <w:pPr>
        <w:pStyle w:val="13"/>
        <w:ind w:firstLine="480"/>
      </w:pPr>
      <w:r>
        <w:t>※对违反评标纪律的评委，将取消其评委资格，对评标工作造成严重损失者将予以通报批评乃至追究法律责任。</w:t>
      </w:r>
    </w:p>
    <w:p w14:paraId="7293899A">
      <w:pPr>
        <w:pStyle w:val="13"/>
        <w:outlineLvl w:val="3"/>
      </w:pPr>
      <w:r>
        <w:rPr>
          <w:b/>
          <w:sz w:val="24"/>
        </w:rPr>
        <w:t>4.有下列情形之一的，视为投标人串通投标，其投标无效；</w:t>
      </w:r>
    </w:p>
    <w:p w14:paraId="7A967453">
      <w:pPr>
        <w:pStyle w:val="13"/>
        <w:ind w:firstLine="480"/>
      </w:pPr>
      <w:r>
        <w:t>4.1不同投标人的</w:t>
      </w:r>
      <w:r>
        <w:rPr>
          <w:rFonts w:hint="eastAsia"/>
          <w:lang w:eastAsia="zh-CN"/>
        </w:rPr>
        <w:t>磋商文件</w:t>
      </w:r>
      <w:r>
        <w:t>由同一单位或者个人编制；</w:t>
      </w:r>
    </w:p>
    <w:p w14:paraId="06668804">
      <w:pPr>
        <w:pStyle w:val="13"/>
        <w:ind w:firstLine="480"/>
      </w:pPr>
      <w:r>
        <w:t>4.2不同投标人委托同一单位或者个人办理投标事宜；</w:t>
      </w:r>
    </w:p>
    <w:p w14:paraId="43A402B9">
      <w:pPr>
        <w:pStyle w:val="13"/>
        <w:ind w:firstLine="480"/>
      </w:pPr>
      <w:r>
        <w:t>4.3不同投标人的</w:t>
      </w:r>
      <w:r>
        <w:rPr>
          <w:rFonts w:hint="eastAsia"/>
          <w:lang w:eastAsia="zh-CN"/>
        </w:rPr>
        <w:t>磋商文件</w:t>
      </w:r>
      <w:r>
        <w:t>载明的项目管理成员或者联系人员为同一人；</w:t>
      </w:r>
    </w:p>
    <w:p w14:paraId="3A2E5504">
      <w:pPr>
        <w:pStyle w:val="13"/>
        <w:ind w:firstLine="480"/>
      </w:pPr>
      <w:r>
        <w:t>4.4不同投标人的</w:t>
      </w:r>
      <w:r>
        <w:rPr>
          <w:rFonts w:hint="eastAsia"/>
          <w:lang w:eastAsia="zh-CN"/>
        </w:rPr>
        <w:t>磋商文件</w:t>
      </w:r>
      <w:r>
        <w:t>异常一致或者投标报价呈规律性差异；</w:t>
      </w:r>
    </w:p>
    <w:p w14:paraId="11BB6016">
      <w:pPr>
        <w:pStyle w:val="13"/>
        <w:ind w:firstLine="480"/>
      </w:pPr>
      <w:r>
        <w:t>4.5不同投标人的</w:t>
      </w:r>
      <w:r>
        <w:rPr>
          <w:rFonts w:hint="eastAsia"/>
          <w:lang w:eastAsia="zh-CN"/>
        </w:rPr>
        <w:t>磋商文件</w:t>
      </w:r>
      <w:r>
        <w:t>相互混装；</w:t>
      </w:r>
    </w:p>
    <w:p w14:paraId="0E40B736">
      <w:pPr>
        <w:pStyle w:val="13"/>
        <w:ind w:firstLine="480"/>
      </w:pPr>
      <w:r>
        <w:t>4.6不同投标人的投标保证金或购买电子保函支付款为从同一单位或个人的账户转出；</w:t>
      </w:r>
    </w:p>
    <w:p w14:paraId="38A21D5E">
      <w:pPr>
        <w:pStyle w:val="13"/>
        <w:ind w:firstLine="480"/>
      </w:pPr>
      <w:r>
        <w:t>4.7投标人上传的电子</w:t>
      </w:r>
      <w:r>
        <w:rPr>
          <w:rFonts w:hint="eastAsia"/>
          <w:lang w:eastAsia="zh-CN"/>
        </w:rPr>
        <w:t>磋商文件</w:t>
      </w:r>
      <w:r>
        <w:t>加盖该项目的其他投标人的电子印章的。</w:t>
      </w:r>
    </w:p>
    <w:p w14:paraId="071244F2">
      <w:pPr>
        <w:pStyle w:val="13"/>
        <w:ind w:firstLine="480"/>
      </w:pPr>
      <w:r>
        <w:t>说明：在评标过程中发现投标人有上述情形的，评标委员会应当认定其投标无效。同时，项目评审时被认定为串通投标的投标人不得参加该合同项下的采购活动。</w:t>
      </w:r>
    </w:p>
    <w:p w14:paraId="246A521D">
      <w:pPr>
        <w:pStyle w:val="13"/>
        <w:outlineLvl w:val="3"/>
      </w:pPr>
      <w:r>
        <w:rPr>
          <w:b/>
          <w:sz w:val="24"/>
        </w:rPr>
        <w:t>5.投标无效的情形</w:t>
      </w:r>
    </w:p>
    <w:p w14:paraId="3FB10158">
      <w:pPr>
        <w:pStyle w:val="13"/>
        <w:ind w:firstLine="480"/>
      </w:pPr>
      <w:r>
        <w:t>详见资格性审查、符合性审查和招标文件其他投标无效条款。</w:t>
      </w:r>
    </w:p>
    <w:p w14:paraId="284E09AF">
      <w:pPr>
        <w:pStyle w:val="13"/>
        <w:outlineLvl w:val="3"/>
      </w:pPr>
      <w:r>
        <w:rPr>
          <w:b/>
          <w:sz w:val="24"/>
        </w:rPr>
        <w:t>6.定标</w:t>
      </w:r>
    </w:p>
    <w:p w14:paraId="2BA3BC88">
      <w:pPr>
        <w:pStyle w:val="13"/>
        <w:ind w:firstLine="480"/>
      </w:pPr>
      <w:r>
        <w:t>评标委员会按照招标文件确定的评标方法、步骤、标准，对</w:t>
      </w:r>
      <w:r>
        <w:rPr>
          <w:rFonts w:hint="eastAsia"/>
          <w:lang w:eastAsia="zh-CN"/>
        </w:rPr>
        <w:t>磋商文件</w:t>
      </w:r>
      <w:r>
        <w:t>进行评审。评标结束后，对投标人的评审名次进行排序，确定中标供应商或者推荐中标候选人。</w:t>
      </w:r>
    </w:p>
    <w:p w14:paraId="35952AB6">
      <w:pPr>
        <w:pStyle w:val="13"/>
        <w:outlineLvl w:val="3"/>
      </w:pPr>
      <w:r>
        <w:rPr>
          <w:b/>
          <w:sz w:val="24"/>
        </w:rPr>
        <w:t>7.价格修正</w:t>
      </w:r>
    </w:p>
    <w:p w14:paraId="13C7E3C6">
      <w:pPr>
        <w:pStyle w:val="13"/>
        <w:ind w:firstLine="480"/>
      </w:pPr>
      <w:r>
        <w:t>对报价的计算错误按以下原则修正：</w:t>
      </w:r>
    </w:p>
    <w:p w14:paraId="3D32E36A">
      <w:pPr>
        <w:pStyle w:val="13"/>
        <w:ind w:firstLine="480"/>
      </w:pPr>
      <w:r>
        <w:t>（</w:t>
      </w:r>
      <w:r>
        <w:rPr>
          <w:rFonts w:hint="eastAsia"/>
          <w:lang w:val="en-US" w:eastAsia="zh-CN"/>
        </w:rPr>
        <w:t>1</w:t>
      </w:r>
      <w:r>
        <w:t>）大写金额和小写金额不一致的，以大写金额为准；</w:t>
      </w:r>
    </w:p>
    <w:p w14:paraId="0045A163">
      <w:pPr>
        <w:pStyle w:val="13"/>
        <w:ind w:firstLine="480"/>
      </w:pPr>
      <w:r>
        <w:t>（</w:t>
      </w:r>
      <w:r>
        <w:rPr>
          <w:rFonts w:hint="eastAsia"/>
          <w:lang w:val="en-US" w:eastAsia="zh-CN"/>
        </w:rPr>
        <w:t>2</w:t>
      </w:r>
      <w:r>
        <w:t>）单价金额小数点或者百分比有明显错位的，以开标一览表的总价为准，并修改单价。</w:t>
      </w:r>
    </w:p>
    <w:p w14:paraId="63D0A213">
      <w:pPr>
        <w:pStyle w:val="13"/>
        <w:ind w:firstLine="480"/>
      </w:pPr>
      <w:r>
        <w:t>（</w:t>
      </w:r>
      <w:r>
        <w:rPr>
          <w:rFonts w:hint="eastAsia"/>
          <w:lang w:val="en-US" w:eastAsia="zh-CN"/>
        </w:rPr>
        <w:t>3</w:t>
      </w:r>
      <w:r>
        <w:t>）总价金额与按单价汇总金额不一致的，以单价金额计算结果为准。但是单价金额计算结果超过预算价的，对其按无效投标处理。</w:t>
      </w:r>
    </w:p>
    <w:p w14:paraId="33A9FB89">
      <w:pPr>
        <w:pStyle w:val="13"/>
        <w:ind w:firstLine="480"/>
      </w:pPr>
      <w:r>
        <w:t>注：同时出现两种以上不一致的，按照前款规定的顺序在系统上进行价格澄清。澄清后的价格加盖印章确认后产生约束力，但不得超出</w:t>
      </w:r>
      <w:r>
        <w:rPr>
          <w:rFonts w:hint="eastAsia"/>
          <w:lang w:eastAsia="zh-CN"/>
        </w:rPr>
        <w:t>磋商文件</w:t>
      </w:r>
      <w:r>
        <w:t>的范围或者改变</w:t>
      </w:r>
      <w:r>
        <w:rPr>
          <w:rFonts w:hint="eastAsia"/>
          <w:lang w:eastAsia="zh-CN"/>
        </w:rPr>
        <w:t>磋商文件</w:t>
      </w:r>
      <w:r>
        <w:t>的实质性内容，投标人不确认的，其投标无效。</w:t>
      </w:r>
    </w:p>
    <w:p w14:paraId="685F3008">
      <w:pPr>
        <w:pStyle w:val="13"/>
        <w:outlineLvl w:val="2"/>
      </w:pPr>
      <w:r>
        <w:rPr>
          <w:b/>
          <w:sz w:val="28"/>
        </w:rPr>
        <w:t>三、评审程序</w:t>
      </w:r>
    </w:p>
    <w:p w14:paraId="5DB8B093">
      <w:pPr>
        <w:pStyle w:val="13"/>
        <w:outlineLvl w:val="3"/>
      </w:pPr>
      <w:r>
        <w:rPr>
          <w:b/>
          <w:sz w:val="24"/>
        </w:rPr>
        <w:t>1.资格性审查和符合性审查</w:t>
      </w:r>
    </w:p>
    <w:p w14:paraId="23CC67A4">
      <w:pPr>
        <w:pStyle w:val="13"/>
        <w:ind w:firstLine="480"/>
      </w:pPr>
      <w:r>
        <w:t>资格性审查。开标结束后，</w:t>
      </w:r>
      <w:r>
        <w:rPr>
          <w:rFonts w:hint="eastAsia"/>
          <w:lang w:eastAsia="zh-CN"/>
        </w:rPr>
        <w:t>采购人</w:t>
      </w:r>
      <w:r>
        <w:t>应当依法对投标人的资格进行审查，以确定投标人是否具备投标资格。（详见后附表一资格性审查表）</w:t>
      </w:r>
    </w:p>
    <w:p w14:paraId="7ADD4A94">
      <w:pPr>
        <w:pStyle w:val="13"/>
        <w:ind w:firstLine="480"/>
      </w:pPr>
      <w:r>
        <w:t>符合性审查。评标委员会依据招标文件的规定，从</w:t>
      </w:r>
      <w:r>
        <w:rPr>
          <w:rFonts w:hint="eastAsia"/>
          <w:lang w:eastAsia="zh-CN"/>
        </w:rPr>
        <w:t>磋商文件</w:t>
      </w:r>
      <w:r>
        <w:t>的有效性、完整性和对招标文件的响应程度进行审查，以确定是否对招标文件的实质性要求作出响应。（详见后附表二符合性审查表）</w:t>
      </w:r>
    </w:p>
    <w:p w14:paraId="3FF0D53A">
      <w:pPr>
        <w:pStyle w:val="13"/>
        <w:ind w:firstLine="480"/>
      </w:pPr>
      <w:r>
        <w:t>资格性审查和符合性审查中凡有其中任意一项未通过的，评审结果为未通过，未通过资格性审查、符合性审查的投标人按无效投标处理。</w:t>
      </w:r>
    </w:p>
    <w:p w14:paraId="6611D969">
      <w:pPr>
        <w:pStyle w:val="13"/>
        <w:ind w:firstLine="480"/>
      </w:pPr>
      <w:r>
        <w:t>对各投标人进行资格审查和符合性审查过程中，对初步被认定为无效投标者，由评标委员会组长或采购人代表将集体意见及时告知投标当事人。</w:t>
      </w:r>
    </w:p>
    <w:p w14:paraId="39B80168">
      <w:pPr>
        <w:pStyle w:val="13"/>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67F580">
      <w:pPr>
        <w:pStyle w:val="13"/>
        <w:ind w:firstLine="480"/>
      </w:pPr>
      <w:r>
        <w:t>合格投标人不足3家的，不得评标。</w:t>
      </w:r>
    </w:p>
    <w:p w14:paraId="1D6720D0">
      <w:pPr>
        <w:pStyle w:val="13"/>
        <w:ind w:firstLine="480"/>
      </w:pPr>
      <w:r>
        <w:t>表一资格性审查表：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43E4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14:paraId="528BEAA6">
            <w:pPr>
              <w:pStyle w:val="13"/>
            </w:pPr>
            <w:r>
              <w:t xml:space="preserve"> 序号</w:t>
            </w:r>
          </w:p>
        </w:tc>
        <w:tc>
          <w:tcPr>
            <w:tcW w:w="7416" w:type="dxa"/>
            <w:gridSpan w:val="2"/>
          </w:tcPr>
          <w:p w14:paraId="24D964D3">
            <w:pPr>
              <w:pStyle w:val="13"/>
            </w:pPr>
            <w:r>
              <w:t xml:space="preserve"> 资格审查内容</w:t>
            </w:r>
          </w:p>
        </w:tc>
      </w:tr>
      <w:tr w14:paraId="5F086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15B6DF">
            <w:pPr>
              <w:pStyle w:val="13"/>
            </w:pPr>
            <w:r>
              <w:t>1</w:t>
            </w:r>
          </w:p>
        </w:tc>
        <w:tc>
          <w:tcPr>
            <w:tcW w:w="3178" w:type="dxa"/>
          </w:tcPr>
          <w:p w14:paraId="7F3B70D1">
            <w:pPr>
              <w:pStyle w:val="13"/>
            </w:pPr>
            <w:r>
              <w:t>具有独立承担民事责任的能力</w:t>
            </w:r>
          </w:p>
        </w:tc>
        <w:tc>
          <w:tcPr>
            <w:tcW w:w="4238" w:type="dxa"/>
          </w:tcPr>
          <w:p w14:paraId="71AA1E5C">
            <w:pPr>
              <w:pStyle w:val="13"/>
            </w:pPr>
            <w: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64EB8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5C505A">
            <w:pPr>
              <w:pStyle w:val="13"/>
            </w:pPr>
            <w:r>
              <w:t>2</w:t>
            </w:r>
          </w:p>
        </w:tc>
        <w:tc>
          <w:tcPr>
            <w:tcW w:w="3178" w:type="dxa"/>
          </w:tcPr>
          <w:p w14:paraId="1733908F">
            <w:pPr>
              <w:pStyle w:val="13"/>
            </w:pPr>
            <w:r>
              <w:t>有依法缴纳税收和社会保障资金的良好记录</w:t>
            </w:r>
          </w:p>
        </w:tc>
        <w:tc>
          <w:tcPr>
            <w:tcW w:w="4238" w:type="dxa"/>
          </w:tcPr>
          <w:p w14:paraId="6231A076">
            <w:pPr>
              <w:pStyle w:val="13"/>
            </w:pPr>
            <w:r>
              <w:t>提供投标截止日前6个月内任意1个月依法缴纳税收和社会保障资金的相关材料。 如依法免税或不需要缴纳社会保障资金的， 提供相应证明材料。</w:t>
            </w:r>
          </w:p>
        </w:tc>
      </w:tr>
      <w:tr w14:paraId="078BD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A874D3F">
            <w:pPr>
              <w:pStyle w:val="13"/>
            </w:pPr>
            <w:r>
              <w:t>3</w:t>
            </w:r>
          </w:p>
        </w:tc>
        <w:tc>
          <w:tcPr>
            <w:tcW w:w="3178" w:type="dxa"/>
          </w:tcPr>
          <w:p w14:paraId="7A08A2C2">
            <w:pPr>
              <w:pStyle w:val="13"/>
            </w:pPr>
            <w:r>
              <w:t>具有良好的商业信誉和健全的财务会计制度</w:t>
            </w:r>
          </w:p>
        </w:tc>
        <w:tc>
          <w:tcPr>
            <w:tcW w:w="4238" w:type="dxa"/>
          </w:tcPr>
          <w:p w14:paraId="786AE843">
            <w:pPr>
              <w:pStyle w:val="13"/>
            </w:pPr>
            <w:r>
              <w:t>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tc>
      </w:tr>
      <w:tr w14:paraId="3E92A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2A19AB3">
            <w:pPr>
              <w:pStyle w:val="13"/>
            </w:pPr>
            <w:r>
              <w:t>4</w:t>
            </w:r>
          </w:p>
        </w:tc>
        <w:tc>
          <w:tcPr>
            <w:tcW w:w="3178" w:type="dxa"/>
          </w:tcPr>
          <w:p w14:paraId="361BD8A1">
            <w:pPr>
              <w:pStyle w:val="13"/>
            </w:pPr>
            <w:r>
              <w:t>履行合同所必需的设备和专业技术能力</w:t>
            </w:r>
          </w:p>
        </w:tc>
        <w:tc>
          <w:tcPr>
            <w:tcW w:w="4238" w:type="dxa"/>
          </w:tcPr>
          <w:p w14:paraId="7B27A6FF">
            <w:pPr>
              <w:pStyle w:val="13"/>
            </w:pPr>
            <w:r>
              <w:t>按投标（响应）文件格式填报设备及专业技术能力情况。</w:t>
            </w:r>
          </w:p>
        </w:tc>
      </w:tr>
      <w:tr w14:paraId="777FD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E76827C">
            <w:pPr>
              <w:pStyle w:val="13"/>
            </w:pPr>
            <w:r>
              <w:t>5</w:t>
            </w:r>
          </w:p>
        </w:tc>
        <w:tc>
          <w:tcPr>
            <w:tcW w:w="3178" w:type="dxa"/>
          </w:tcPr>
          <w:p w14:paraId="3FD01B12">
            <w:pPr>
              <w:pStyle w:val="13"/>
            </w:pPr>
            <w:r>
              <w:t>参加采购活动前3年内，在经营活动中没有重大违法记录</w:t>
            </w:r>
          </w:p>
        </w:tc>
        <w:tc>
          <w:tcPr>
            <w:tcW w:w="4238" w:type="dxa"/>
          </w:tcPr>
          <w:p w14:paraId="13E99D75">
            <w:pPr>
              <w:pStyle w:val="13"/>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43F2E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A162818">
            <w:pPr>
              <w:pStyle w:val="13"/>
            </w:pPr>
            <w:r>
              <w:t>6</w:t>
            </w:r>
          </w:p>
        </w:tc>
        <w:tc>
          <w:tcPr>
            <w:tcW w:w="3178" w:type="dxa"/>
          </w:tcPr>
          <w:p w14:paraId="2583366F">
            <w:pPr>
              <w:pStyle w:val="13"/>
            </w:pPr>
            <w:r>
              <w:t>信用记录</w:t>
            </w:r>
          </w:p>
        </w:tc>
        <w:tc>
          <w:tcPr>
            <w:tcW w:w="4238" w:type="dxa"/>
          </w:tcPr>
          <w:p w14:paraId="66663EDD">
            <w:pPr>
              <w:pStyle w:val="13"/>
            </w:pPr>
            <w:r>
              <w:t>供应商未被列入“信用中国”网站</w:t>
            </w:r>
            <w:r>
              <w:rPr>
                <w:rFonts w:hint="eastAsia"/>
                <w:lang w:eastAsia="zh-CN"/>
              </w:rPr>
              <w:t>（</w:t>
            </w:r>
            <w:r>
              <w:t>www.creditchina.gov.cn</w:t>
            </w:r>
            <w:r>
              <w:rPr>
                <w:rFonts w:hint="eastAsia"/>
                <w:lang w:eastAsia="zh-CN"/>
              </w:rPr>
              <w:t>）</w:t>
            </w:r>
            <w:r>
              <w:t>“记录失信被执行人或重大税收违法失信主体或政府采购严重违法失信行为”记录名单；不处于中国政府采购网</w:t>
            </w:r>
            <w:r>
              <w:rPr>
                <w:rFonts w:hint="eastAsia"/>
                <w:lang w:eastAsia="zh-CN"/>
              </w:rPr>
              <w:t>（</w:t>
            </w:r>
            <w:r>
              <w:t>www.ccgp.gov.cn</w:t>
            </w:r>
            <w:r>
              <w:rPr>
                <w:rFonts w:hint="eastAsia"/>
                <w:lang w:eastAsia="zh-CN"/>
              </w:rPr>
              <w:t>）</w:t>
            </w:r>
            <w:r>
              <w:t>“政府采购严重违法失信行为信息记录”中的禁止参加政府采购活动期间。（以资格审查人员于投标</w:t>
            </w:r>
            <w:r>
              <w:rPr>
                <w:rFonts w:hint="eastAsia"/>
                <w:lang w:val="en-US" w:eastAsia="zh-CN"/>
              </w:rPr>
              <w:t>/</w:t>
            </w:r>
            <w:r>
              <w:t>响应截止时间当天在“信用中国”网站（www.creditchina.gov.cn）及中国政府采购网（http://www.ccgp.gov.cn/）查询结果为准，如相关失信记录已失效，供应商需提供相关证明资料）。</w:t>
            </w:r>
          </w:p>
        </w:tc>
      </w:tr>
      <w:tr w14:paraId="0ADF2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16C9A97">
            <w:pPr>
              <w:pStyle w:val="13"/>
            </w:pPr>
            <w:r>
              <w:t>7</w:t>
            </w:r>
          </w:p>
        </w:tc>
        <w:tc>
          <w:tcPr>
            <w:tcW w:w="3178" w:type="dxa"/>
          </w:tcPr>
          <w:p w14:paraId="59ADBA30">
            <w:pPr>
              <w:pStyle w:val="13"/>
            </w:pPr>
            <w:r>
              <w:t>供应商必须符合法律、行政法规规定的其他条件</w:t>
            </w:r>
          </w:p>
        </w:tc>
        <w:tc>
          <w:tcPr>
            <w:tcW w:w="4238" w:type="dxa"/>
          </w:tcPr>
          <w:p w14:paraId="446D5E64">
            <w:pPr>
              <w:pStyle w:val="13"/>
            </w:pPr>
            <w:r>
              <w:t>单位负责人为同一人或者存在直接控股、 管理关系的不同供应商，不得同时参加本采购项目（或采购包）投标（响应）。为本项目提供整体设计、 规范编制或者项目管理、 监理、 检测等服务的供应商，不得再参与本项目投标（响应）。投标函相关承诺要求内容。</w:t>
            </w:r>
          </w:p>
        </w:tc>
      </w:tr>
      <w:tr w14:paraId="6454C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7D530B">
            <w:pPr>
              <w:pStyle w:val="13"/>
            </w:pPr>
            <w:r>
              <w:t>8</w:t>
            </w:r>
          </w:p>
        </w:tc>
        <w:tc>
          <w:tcPr>
            <w:tcW w:w="3178" w:type="dxa"/>
            <w:vAlign w:val="top"/>
          </w:tcPr>
          <w:p w14:paraId="2B09B0F8">
            <w:pPr>
              <w:pStyle w:val="33"/>
              <w:spacing w:before="277" w:line="373" w:lineRule="auto"/>
              <w:ind w:left="105" w:right="183" w:hanging="2"/>
              <w:jc w:val="both"/>
            </w:pPr>
            <w:r>
              <w:rPr>
                <w:spacing w:val="1"/>
              </w:rPr>
              <w:t>投标人须为具有中国银行保险监督管理委员会（简称银保监会）颁发的合法有效的《经营保险业务许可</w:t>
            </w:r>
          </w:p>
          <w:p w14:paraId="7429EBD0">
            <w:pPr>
              <w:pStyle w:val="33"/>
              <w:spacing w:line="231" w:lineRule="auto"/>
              <w:ind w:left="100" w:leftChars="0"/>
              <w:outlineLvl w:val="3"/>
            </w:pPr>
            <w:r>
              <w:rPr>
                <w:spacing w:val="-3"/>
              </w:rPr>
              <w:t>证》。</w:t>
            </w:r>
          </w:p>
        </w:tc>
        <w:tc>
          <w:tcPr>
            <w:tcW w:w="4238" w:type="dxa"/>
            <w:vAlign w:val="top"/>
          </w:tcPr>
          <w:p w14:paraId="6BAAF4CF">
            <w:pPr>
              <w:pStyle w:val="33"/>
              <w:spacing w:before="83" w:line="355" w:lineRule="auto"/>
              <w:ind w:left="102" w:leftChars="0" w:right="202" w:rightChars="0" w:firstLine="3" w:firstLineChars="0"/>
              <w:jc w:val="both"/>
            </w:pPr>
            <w:r>
              <w:t xml:space="preserve">投标人须提供中国银行保险监督管理委员会 </w:t>
            </w:r>
            <w:r>
              <w:rPr>
                <w:rFonts w:hint="eastAsia"/>
                <w:lang w:eastAsia="zh-CN"/>
              </w:rPr>
              <w:t>（</w:t>
            </w:r>
            <w:r>
              <w:rPr>
                <w:spacing w:val="1"/>
              </w:rPr>
              <w:t>简称银保监会）颁发的合法有效的《经营保险业务许可证》复印件。</w:t>
            </w:r>
            <w:r>
              <w:rPr>
                <w:spacing w:val="-23"/>
              </w:rPr>
              <w:t xml:space="preserve"> </w:t>
            </w:r>
            <w:r>
              <w:rPr>
                <w:spacing w:val="1"/>
              </w:rPr>
              <w:t>注：本项目允许总公司或其分公司或其分支机构参与，但只能以一个</w:t>
            </w:r>
            <w:r>
              <w:t>投标人身份参与。</w:t>
            </w:r>
          </w:p>
        </w:tc>
      </w:tr>
    </w:tbl>
    <w:p w14:paraId="08B35C21">
      <w:pPr>
        <w:pStyle w:val="13"/>
        <w:ind w:firstLine="480"/>
      </w:pPr>
      <w:r>
        <w:t>表二符合性审查表：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E643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0AAF68">
            <w:pPr>
              <w:pStyle w:val="13"/>
            </w:pPr>
            <w:r>
              <w:t xml:space="preserve"> 序号</w:t>
            </w:r>
          </w:p>
        </w:tc>
        <w:tc>
          <w:tcPr>
            <w:tcW w:w="3178" w:type="dxa"/>
          </w:tcPr>
          <w:p w14:paraId="0638FA05">
            <w:pPr>
              <w:pStyle w:val="13"/>
            </w:pPr>
            <w:r>
              <w:t xml:space="preserve"> 评审点要求概况</w:t>
            </w:r>
          </w:p>
        </w:tc>
        <w:tc>
          <w:tcPr>
            <w:tcW w:w="4238" w:type="dxa"/>
          </w:tcPr>
          <w:p w14:paraId="6E7515C3">
            <w:pPr>
              <w:pStyle w:val="13"/>
            </w:pPr>
            <w:r>
              <w:t xml:space="preserve"> 评审点具体描述</w:t>
            </w:r>
          </w:p>
        </w:tc>
      </w:tr>
      <w:tr w14:paraId="76A48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947BE6">
            <w:pPr>
              <w:pStyle w:val="13"/>
            </w:pPr>
            <w:r>
              <w:t>1</w:t>
            </w:r>
          </w:p>
        </w:tc>
        <w:tc>
          <w:tcPr>
            <w:tcW w:w="3178" w:type="dxa"/>
          </w:tcPr>
          <w:p w14:paraId="58C8484F">
            <w:pPr>
              <w:pStyle w:val="13"/>
            </w:pPr>
            <w:r>
              <w:t>投标（报价）折扣率是固定价且是唯一的，报价折扣率未超过100%。</w:t>
            </w:r>
          </w:p>
        </w:tc>
        <w:tc>
          <w:tcPr>
            <w:tcW w:w="4238" w:type="dxa"/>
          </w:tcPr>
          <w:p w14:paraId="2531207C">
            <w:pPr>
              <w:pStyle w:val="13"/>
            </w:pPr>
            <w:r>
              <w:t>投标（报价）折扣率是固定价且是唯一的，报价折扣率未超过100%。</w:t>
            </w:r>
          </w:p>
        </w:tc>
      </w:tr>
      <w:tr w14:paraId="05112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A796C5">
            <w:pPr>
              <w:pStyle w:val="13"/>
            </w:pPr>
            <w:r>
              <w:t>2</w:t>
            </w:r>
          </w:p>
        </w:tc>
        <w:tc>
          <w:tcPr>
            <w:tcW w:w="3178" w:type="dxa"/>
          </w:tcPr>
          <w:p w14:paraId="3F4EB4ED">
            <w:pPr>
              <w:pStyle w:val="13"/>
            </w:pPr>
            <w:r>
              <w:t>未以联合体形式投标。</w:t>
            </w:r>
          </w:p>
        </w:tc>
        <w:tc>
          <w:tcPr>
            <w:tcW w:w="4238" w:type="dxa"/>
          </w:tcPr>
          <w:p w14:paraId="024A7E23">
            <w:pPr>
              <w:pStyle w:val="13"/>
            </w:pPr>
            <w:r>
              <w:t>未以联合体形式投标。</w:t>
            </w:r>
          </w:p>
        </w:tc>
      </w:tr>
      <w:tr w14:paraId="2A418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F8AB22">
            <w:pPr>
              <w:pStyle w:val="13"/>
            </w:pPr>
            <w:r>
              <w:t>3</w:t>
            </w:r>
          </w:p>
        </w:tc>
        <w:tc>
          <w:tcPr>
            <w:tcW w:w="3178" w:type="dxa"/>
          </w:tcPr>
          <w:p w14:paraId="761BB009">
            <w:pPr>
              <w:pStyle w:val="13"/>
            </w:pPr>
            <w:r>
              <w:t>提交投标函。投标函按规定格式填写，内容完整。</w:t>
            </w:r>
          </w:p>
        </w:tc>
        <w:tc>
          <w:tcPr>
            <w:tcW w:w="4238" w:type="dxa"/>
          </w:tcPr>
          <w:p w14:paraId="00328AF1">
            <w:pPr>
              <w:pStyle w:val="13"/>
            </w:pPr>
            <w:r>
              <w:t>提交投标函。投标函按规定格式填写，内容完整。</w:t>
            </w:r>
          </w:p>
        </w:tc>
      </w:tr>
      <w:tr w14:paraId="41581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F83BC0">
            <w:pPr>
              <w:pStyle w:val="13"/>
            </w:pPr>
            <w:r>
              <w:t>4</w:t>
            </w:r>
          </w:p>
        </w:tc>
        <w:tc>
          <w:tcPr>
            <w:tcW w:w="3178" w:type="dxa"/>
          </w:tcPr>
          <w:p w14:paraId="5B81A1F0">
            <w:pPr>
              <w:pStyle w:val="13"/>
            </w:pPr>
            <w:r>
              <w:t>法定代表人（单位负责人）资格证明书及授权委托书（如法定代表人（单位负责人）代表单位投标（响应）的，则提交法定代表人（单位负责人）资格证明书），按对应格式文件签署、盖章。</w:t>
            </w:r>
          </w:p>
        </w:tc>
        <w:tc>
          <w:tcPr>
            <w:tcW w:w="4238" w:type="dxa"/>
          </w:tcPr>
          <w:p w14:paraId="690F6856">
            <w:pPr>
              <w:pStyle w:val="13"/>
            </w:pPr>
            <w:r>
              <w:t>法定代表人（单位负责人）资格证明书及授权委托书（如法定代表人（单位负责人）代表单位投标（响应）的，则提交法定代表人（单位负责人）资格证明书），按对应格式文件签署、盖章。</w:t>
            </w:r>
          </w:p>
        </w:tc>
      </w:tr>
      <w:tr w14:paraId="0571F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B318973">
            <w:pPr>
              <w:pStyle w:val="13"/>
            </w:pPr>
            <w:r>
              <w:t>5</w:t>
            </w:r>
          </w:p>
        </w:tc>
        <w:tc>
          <w:tcPr>
            <w:tcW w:w="3178" w:type="dxa"/>
          </w:tcPr>
          <w:p w14:paraId="2D23BFE9">
            <w:pPr>
              <w:pStyle w:val="13"/>
            </w:pPr>
            <w:r>
              <w:t>“★”号条款满足招标文件要求。</w:t>
            </w:r>
          </w:p>
        </w:tc>
        <w:tc>
          <w:tcPr>
            <w:tcW w:w="4238" w:type="dxa"/>
          </w:tcPr>
          <w:p w14:paraId="67BA1C18">
            <w:pPr>
              <w:pStyle w:val="13"/>
            </w:pPr>
            <w:r>
              <w:t>“★”号条款满足招标文件要求。</w:t>
            </w:r>
          </w:p>
        </w:tc>
      </w:tr>
      <w:tr w14:paraId="145F5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879A5F">
            <w:pPr>
              <w:pStyle w:val="13"/>
            </w:pPr>
            <w:r>
              <w:t>6</w:t>
            </w:r>
          </w:p>
        </w:tc>
        <w:tc>
          <w:tcPr>
            <w:tcW w:w="3178" w:type="dxa"/>
          </w:tcPr>
          <w:p w14:paraId="6970FCF8">
            <w:pPr>
              <w:pStyle w:val="13"/>
            </w:pPr>
            <w:r>
              <w:t>如出现投标报价错误的处理原则修正后的报价</w:t>
            </w:r>
            <w:r>
              <w:rPr>
                <w:rFonts w:hint="eastAsia"/>
                <w:lang w:eastAsia="zh-CN"/>
              </w:rPr>
              <w:t>，</w:t>
            </w:r>
            <w:r>
              <w:t>投标人按规定书面确认。</w:t>
            </w:r>
          </w:p>
        </w:tc>
        <w:tc>
          <w:tcPr>
            <w:tcW w:w="4238" w:type="dxa"/>
          </w:tcPr>
          <w:p w14:paraId="71863767">
            <w:pPr>
              <w:pStyle w:val="13"/>
            </w:pPr>
            <w:r>
              <w:t>如出现投标报价错误的处理原则修正后的报价</w:t>
            </w:r>
            <w:r>
              <w:rPr>
                <w:rFonts w:hint="eastAsia"/>
                <w:lang w:eastAsia="zh-CN"/>
              </w:rPr>
              <w:t>，</w:t>
            </w:r>
            <w:r>
              <w:t>投标人按规定书面确认。</w:t>
            </w:r>
          </w:p>
        </w:tc>
      </w:tr>
      <w:tr w14:paraId="7F4AC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1A2420">
            <w:pPr>
              <w:pStyle w:val="13"/>
            </w:pPr>
            <w:r>
              <w:t>7</w:t>
            </w:r>
          </w:p>
        </w:tc>
        <w:tc>
          <w:tcPr>
            <w:tcW w:w="3178" w:type="dxa"/>
          </w:tcPr>
          <w:p w14:paraId="47769137">
            <w:pPr>
              <w:pStyle w:val="13"/>
            </w:pPr>
            <w:r>
              <w:t>投标有效期为投标截止日起至少90天。</w:t>
            </w:r>
          </w:p>
        </w:tc>
        <w:tc>
          <w:tcPr>
            <w:tcW w:w="4238" w:type="dxa"/>
          </w:tcPr>
          <w:p w14:paraId="032987C0">
            <w:pPr>
              <w:pStyle w:val="13"/>
            </w:pPr>
            <w:r>
              <w:t>投标有效期为投标截止日起至少90天。</w:t>
            </w:r>
          </w:p>
        </w:tc>
      </w:tr>
      <w:tr w14:paraId="626A6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E67831">
            <w:pPr>
              <w:pStyle w:val="13"/>
            </w:pPr>
            <w:r>
              <w:t>8</w:t>
            </w:r>
          </w:p>
        </w:tc>
        <w:tc>
          <w:tcPr>
            <w:tcW w:w="3178" w:type="dxa"/>
          </w:tcPr>
          <w:p w14:paraId="3BC6AB7D">
            <w:pPr>
              <w:pStyle w:val="13"/>
            </w:pPr>
            <w:r>
              <w:t>投标人的澄清、说明或者补正没有超出</w:t>
            </w:r>
            <w:r>
              <w:rPr>
                <w:rFonts w:hint="eastAsia"/>
                <w:lang w:eastAsia="zh-CN"/>
              </w:rPr>
              <w:t>磋商文件</w:t>
            </w:r>
            <w:r>
              <w:t>的范围或者改变</w:t>
            </w:r>
            <w:r>
              <w:rPr>
                <w:rFonts w:hint="eastAsia"/>
                <w:lang w:eastAsia="zh-CN"/>
              </w:rPr>
              <w:t>磋商文件</w:t>
            </w:r>
            <w:r>
              <w:t>的实质性内容（仅适用于评标过</w:t>
            </w:r>
            <w:r>
              <w:rPr>
                <w:rFonts w:hint="eastAsia"/>
                <w:lang w:eastAsia="zh-CN"/>
              </w:rPr>
              <w:t>程中</w:t>
            </w:r>
            <w:r>
              <w:t>产生澄清的项目）。</w:t>
            </w:r>
          </w:p>
        </w:tc>
        <w:tc>
          <w:tcPr>
            <w:tcW w:w="4238" w:type="dxa"/>
          </w:tcPr>
          <w:p w14:paraId="169D27B4">
            <w:pPr>
              <w:pStyle w:val="13"/>
            </w:pPr>
            <w:r>
              <w:t>投标人的澄清、说明或者补正没有超出</w:t>
            </w:r>
            <w:r>
              <w:rPr>
                <w:rFonts w:hint="eastAsia"/>
                <w:lang w:eastAsia="zh-CN"/>
              </w:rPr>
              <w:t>磋商文件</w:t>
            </w:r>
            <w:r>
              <w:t>的范围或者改变</w:t>
            </w:r>
            <w:r>
              <w:rPr>
                <w:rFonts w:hint="eastAsia"/>
                <w:lang w:eastAsia="zh-CN"/>
              </w:rPr>
              <w:t>磋商文件</w:t>
            </w:r>
            <w:r>
              <w:t>的实质性内容（仅适用于评标过</w:t>
            </w:r>
            <w:r>
              <w:rPr>
                <w:rFonts w:hint="eastAsia"/>
                <w:lang w:eastAsia="zh-CN"/>
              </w:rPr>
              <w:t>程中</w:t>
            </w:r>
            <w:r>
              <w:t>产生澄清的项目）。</w:t>
            </w:r>
          </w:p>
        </w:tc>
      </w:tr>
      <w:tr w14:paraId="05989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DE84D6">
            <w:pPr>
              <w:pStyle w:val="13"/>
            </w:pPr>
            <w:r>
              <w:t>9</w:t>
            </w:r>
          </w:p>
        </w:tc>
        <w:tc>
          <w:tcPr>
            <w:tcW w:w="3178" w:type="dxa"/>
          </w:tcPr>
          <w:p w14:paraId="306B7B07">
            <w:pPr>
              <w:pStyle w:val="13"/>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w="4238" w:type="dxa"/>
          </w:tcPr>
          <w:p w14:paraId="1856C708">
            <w:pPr>
              <w:pStyle w:val="13"/>
            </w:pPr>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bl>
    <w:p w14:paraId="2C437187">
      <w:pPr>
        <w:pStyle w:val="13"/>
        <w:outlineLvl w:val="3"/>
      </w:pPr>
      <w:r>
        <w:rPr>
          <w:b/>
          <w:sz w:val="24"/>
        </w:rPr>
        <w:t>2.</w:t>
      </w:r>
      <w:r>
        <w:rPr>
          <w:rFonts w:hint="eastAsia"/>
          <w:b/>
          <w:sz w:val="24"/>
          <w:lang w:eastAsia="zh-CN"/>
        </w:rPr>
        <w:t>磋商文件</w:t>
      </w:r>
      <w:r>
        <w:rPr>
          <w:b/>
          <w:sz w:val="24"/>
        </w:rPr>
        <w:t>澄清</w:t>
      </w:r>
    </w:p>
    <w:p w14:paraId="2185E1F6">
      <w:pPr>
        <w:pStyle w:val="13"/>
        <w:ind w:firstLine="480"/>
      </w:pPr>
      <w:r>
        <w:t>2.1对于</w:t>
      </w:r>
      <w:r>
        <w:rPr>
          <w:rFonts w:hint="eastAsia"/>
          <w:lang w:eastAsia="zh-CN"/>
        </w:rPr>
        <w:t>磋商文件</w:t>
      </w:r>
      <w:r>
        <w:t>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398AF180">
      <w:pPr>
        <w:pStyle w:val="13"/>
        <w:ind w:firstLine="480"/>
      </w:pPr>
      <w:r>
        <w:t>投标人需登录广东政府采购智慧云平台项目采购系统的等候大厅，在规定时间内完成澄清（响应），并加盖电子印章。</w:t>
      </w:r>
    </w:p>
    <w:p w14:paraId="090E471E">
      <w:pPr>
        <w:pStyle w:val="13"/>
        <w:ind w:firstLine="480"/>
      </w:pPr>
      <w:r>
        <w:t>若因投标人联系方式错误未接收短信、未接听电话或超时未进行澄清（响应）造成的不利后果由供应商自行承担。投标人的澄清、说明或者补正不得超出</w:t>
      </w:r>
      <w:r>
        <w:rPr>
          <w:rFonts w:hint="eastAsia"/>
          <w:lang w:eastAsia="zh-CN"/>
        </w:rPr>
        <w:t>磋商文件</w:t>
      </w:r>
      <w:r>
        <w:t>的范围或者改变</w:t>
      </w:r>
      <w:r>
        <w:rPr>
          <w:rFonts w:hint="eastAsia"/>
          <w:lang w:eastAsia="zh-CN"/>
        </w:rPr>
        <w:t>磋商文件</w:t>
      </w:r>
      <w:r>
        <w:t>的实质性内容。</w:t>
      </w:r>
    </w:p>
    <w:p w14:paraId="68899ABF">
      <w:pPr>
        <w:pStyle w:val="13"/>
        <w:ind w:firstLine="480"/>
      </w:pPr>
      <w:r>
        <w:t>2.2评标委员会不接受投标人主动提出的澄清、说明或补正。</w:t>
      </w:r>
    </w:p>
    <w:p w14:paraId="6323AD9F">
      <w:pPr>
        <w:pStyle w:val="13"/>
        <w:ind w:firstLine="480"/>
      </w:pPr>
      <w:r>
        <w:t>2.3评标委员会对投标人提交的澄清、说明或补正有疑问的，可以要求投标人进一步澄清、说明或补正。</w:t>
      </w:r>
    </w:p>
    <w:p w14:paraId="6C15333B">
      <w:pPr>
        <w:pStyle w:val="13"/>
        <w:outlineLvl w:val="3"/>
        <w:rPr>
          <w:rFonts w:hint="eastAsia"/>
          <w:b/>
          <w:sz w:val="24"/>
          <w:lang w:val="en-US" w:eastAsia="zh-CN"/>
        </w:rPr>
      </w:pPr>
    </w:p>
    <w:p w14:paraId="05FD0372">
      <w:pPr>
        <w:pStyle w:val="13"/>
        <w:outlineLvl w:val="3"/>
        <w:rPr>
          <w:rFonts w:hint="default" w:eastAsiaTheme="minorEastAsia"/>
          <w:lang w:val="en-US" w:eastAsia="zh-CN"/>
        </w:rPr>
      </w:pPr>
      <w:r>
        <w:rPr>
          <w:rFonts w:hint="eastAsia"/>
          <w:b/>
          <w:sz w:val="24"/>
          <w:lang w:val="en-US" w:eastAsia="zh-CN"/>
        </w:rPr>
        <w:t>3</w:t>
      </w:r>
      <w:r>
        <w:rPr>
          <w:b/>
          <w:sz w:val="24"/>
        </w:rPr>
        <w:t>.</w:t>
      </w:r>
      <w:r>
        <w:rPr>
          <w:rFonts w:hint="eastAsia"/>
          <w:b/>
          <w:sz w:val="24"/>
          <w:lang w:val="en-US" w:eastAsia="zh-CN"/>
        </w:rPr>
        <w:t>二次报价</w:t>
      </w:r>
    </w:p>
    <w:p w14:paraId="39CCCBDD">
      <w:pPr>
        <w:pStyle w:val="13"/>
        <w:ind w:firstLine="480"/>
        <w:rPr>
          <w:rFonts w:hint="eastAsia"/>
          <w:lang w:val="en-US" w:eastAsia="zh-CN"/>
        </w:rPr>
      </w:pPr>
      <w:r>
        <w:rPr>
          <w:rFonts w:hint="eastAsia"/>
          <w:lang w:val="en-US" w:eastAsia="zh-CN"/>
        </w:rPr>
        <w:t>3.1初步评审（资格性、符合性审查）通过后，供应商可提交二次报价。</w:t>
      </w:r>
    </w:p>
    <w:p w14:paraId="12EDA7C2">
      <w:pPr>
        <w:pStyle w:val="13"/>
        <w:ind w:firstLine="480"/>
        <w:rPr>
          <w:rFonts w:hint="eastAsia"/>
          <w:lang w:val="en-US" w:eastAsia="zh-CN"/>
        </w:rPr>
      </w:pPr>
      <w:r>
        <w:rPr>
          <w:rFonts w:hint="eastAsia"/>
          <w:lang w:val="en-US" w:eastAsia="zh-CN"/>
        </w:rPr>
        <w:t>3.2磋商结束后30分钟内提交，逾期视为放弃。</w:t>
      </w:r>
    </w:p>
    <w:p w14:paraId="68B110FB">
      <w:pPr>
        <w:pStyle w:val="13"/>
        <w:ind w:firstLine="480"/>
        <w:rPr>
          <w:rFonts w:hint="eastAsia"/>
          <w:lang w:val="en-US" w:eastAsia="zh-CN"/>
        </w:rPr>
      </w:pPr>
      <w:r>
        <w:rPr>
          <w:rFonts w:hint="eastAsia"/>
          <w:lang w:val="en-US" w:eastAsia="zh-CN"/>
        </w:rPr>
        <w:t>3.3二次报价表格格式与首次报价一致，需盖公章。</w:t>
      </w:r>
    </w:p>
    <w:p w14:paraId="5F65246E">
      <w:pPr>
        <w:pStyle w:val="13"/>
        <w:ind w:firstLine="480"/>
        <w:rPr>
          <w:rFonts w:hint="eastAsia"/>
          <w:lang w:val="en-US" w:eastAsia="zh-CN"/>
        </w:rPr>
      </w:pPr>
      <w:r>
        <w:rPr>
          <w:rFonts w:hint="eastAsia"/>
          <w:lang w:val="en-US" w:eastAsia="zh-CN"/>
        </w:rPr>
        <w:t>3.4二次报价不得高于首次报价，否则视为无效。</w:t>
      </w:r>
    </w:p>
    <w:p w14:paraId="2EDE03DA">
      <w:pPr>
        <w:pStyle w:val="13"/>
        <w:outlineLvl w:val="3"/>
      </w:pPr>
      <w:r>
        <w:rPr>
          <w:rFonts w:hint="eastAsia"/>
          <w:b/>
          <w:sz w:val="24"/>
          <w:lang w:val="en-US" w:eastAsia="zh-CN"/>
        </w:rPr>
        <w:t>4</w:t>
      </w:r>
      <w:r>
        <w:rPr>
          <w:b/>
          <w:sz w:val="24"/>
        </w:rPr>
        <w:t>.详细评审</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505E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B540641">
            <w:pPr>
              <w:pStyle w:val="13"/>
              <w:jc w:val="center"/>
            </w:pPr>
            <w:r>
              <w:t>评审因素</w:t>
            </w:r>
          </w:p>
        </w:tc>
        <w:tc>
          <w:tcPr>
            <w:tcW w:w="7383" w:type="dxa"/>
            <w:gridSpan w:val="2"/>
          </w:tcPr>
          <w:p w14:paraId="114D807A">
            <w:pPr>
              <w:pStyle w:val="13"/>
              <w:jc w:val="center"/>
            </w:pPr>
            <w:r>
              <w:t>评审标准</w:t>
            </w:r>
          </w:p>
        </w:tc>
      </w:tr>
      <w:tr w14:paraId="122AF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2983E6A">
            <w:pPr>
              <w:pStyle w:val="13"/>
              <w:jc w:val="center"/>
            </w:pPr>
            <w:r>
              <w:t>分值构成</w:t>
            </w:r>
          </w:p>
        </w:tc>
        <w:tc>
          <w:tcPr>
            <w:tcW w:w="7383" w:type="dxa"/>
            <w:gridSpan w:val="2"/>
          </w:tcPr>
          <w:p w14:paraId="0E72619E">
            <w:pPr>
              <w:pStyle w:val="13"/>
              <w:rPr>
                <w:color w:val="auto"/>
                <w:highlight w:val="none"/>
              </w:rPr>
            </w:pPr>
            <w:r>
              <w:rPr>
                <w:color w:val="auto"/>
                <w:highlight w:val="none"/>
              </w:rPr>
              <w:t>商务部分</w:t>
            </w:r>
            <w:r>
              <w:rPr>
                <w:rFonts w:hint="eastAsia"/>
                <w:color w:val="auto"/>
                <w:highlight w:val="none"/>
                <w:lang w:val="en-US" w:eastAsia="zh-CN"/>
              </w:rPr>
              <w:t>35</w:t>
            </w:r>
            <w:r>
              <w:rPr>
                <w:color w:val="auto"/>
                <w:highlight w:val="none"/>
              </w:rPr>
              <w:t>.0分</w:t>
            </w:r>
          </w:p>
          <w:p w14:paraId="1ACB0227">
            <w:pPr>
              <w:pStyle w:val="13"/>
              <w:rPr>
                <w:color w:val="auto"/>
                <w:highlight w:val="none"/>
              </w:rPr>
            </w:pPr>
            <w:r>
              <w:rPr>
                <w:color w:val="auto"/>
                <w:highlight w:val="none"/>
              </w:rPr>
              <w:t>技术部分</w:t>
            </w:r>
            <w:r>
              <w:rPr>
                <w:rFonts w:hint="eastAsia"/>
                <w:color w:val="auto"/>
                <w:highlight w:val="none"/>
                <w:lang w:val="en-US" w:eastAsia="zh-CN"/>
              </w:rPr>
              <w:t>45</w:t>
            </w:r>
            <w:r>
              <w:rPr>
                <w:color w:val="auto"/>
                <w:highlight w:val="none"/>
              </w:rPr>
              <w:t>.0分</w:t>
            </w:r>
          </w:p>
          <w:p w14:paraId="2B1F0D25">
            <w:pPr>
              <w:pStyle w:val="13"/>
            </w:pPr>
            <w:r>
              <w:rPr>
                <w:color w:val="auto"/>
                <w:highlight w:val="none"/>
              </w:rPr>
              <w:t>报价得分</w:t>
            </w:r>
            <w:r>
              <w:rPr>
                <w:rFonts w:hint="eastAsia"/>
                <w:color w:val="auto"/>
                <w:highlight w:val="none"/>
                <w:lang w:val="en-US" w:eastAsia="zh-CN"/>
              </w:rPr>
              <w:t>20</w:t>
            </w:r>
            <w:r>
              <w:rPr>
                <w:color w:val="auto"/>
                <w:highlight w:val="none"/>
              </w:rPr>
              <w:t>.0分</w:t>
            </w:r>
          </w:p>
        </w:tc>
      </w:tr>
      <w:tr w14:paraId="120F5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468D31F">
            <w:pPr>
              <w:pStyle w:val="13"/>
              <w:jc w:val="center"/>
            </w:pPr>
            <w:r>
              <w:t>技术部分</w:t>
            </w:r>
          </w:p>
        </w:tc>
        <w:tc>
          <w:tcPr>
            <w:tcW w:w="2307" w:type="dxa"/>
          </w:tcPr>
          <w:p w14:paraId="2A874E15">
            <w:pPr>
              <w:pStyle w:val="13"/>
              <w:jc w:val="left"/>
            </w:pPr>
            <w:r>
              <w:rPr>
                <w:rFonts w:hint="eastAsia" w:ascii="宋体" w:hAnsi="宋体" w:eastAsia="宋体" w:cs="Times New Roman"/>
                <w:color w:val="000000"/>
                <w:kern w:val="0"/>
                <w:szCs w:val="21"/>
                <w:highlight w:val="none"/>
              </w:rPr>
              <w:t>保险服务方案</w:t>
            </w:r>
            <w:r>
              <w:t xml:space="preserve"> </w:t>
            </w:r>
            <w:r>
              <w:rPr>
                <w:rFonts w:hint="eastAsia"/>
                <w:lang w:eastAsia="zh-CN"/>
              </w:rPr>
              <w:t>（</w:t>
            </w:r>
            <w:r>
              <w:t>15.0分</w:t>
            </w:r>
            <w:r>
              <w:rPr>
                <w:rFonts w:hint="eastAsia"/>
                <w:lang w:eastAsia="zh-CN"/>
              </w:rPr>
              <w:t>）</w:t>
            </w:r>
          </w:p>
        </w:tc>
        <w:tc>
          <w:tcPr>
            <w:tcW w:w="5076" w:type="dxa"/>
            <w:shd w:val="clear" w:color="auto" w:fill="auto"/>
            <w:vAlign w:val="top"/>
          </w:tcPr>
          <w:p w14:paraId="5F0F76FC">
            <w:pPr>
              <w:jc w:val="left"/>
              <w:rPr>
                <w:highlight w:val="none"/>
              </w:rPr>
            </w:pPr>
            <w:r>
              <w:rPr>
                <w:highlight w:val="none"/>
              </w:rPr>
              <w:t>根据</w:t>
            </w:r>
            <w:r>
              <w:rPr>
                <w:rFonts w:hint="eastAsia"/>
                <w:highlight w:val="none"/>
                <w:lang w:val="en-US" w:eastAsia="zh-CN"/>
              </w:rPr>
              <w:t>供应商</w:t>
            </w:r>
            <w:r>
              <w:rPr>
                <w:highlight w:val="none"/>
              </w:rPr>
              <w:t xml:space="preserve">针对本项目保险服务方案进行评审，方案应包括但不限于：①服务要求响应及方案；②实施目标和具体特点；③服务承诺；④质量控制措施；⑤特殊情况处理措施。本评分项最高得15分。 </w:t>
            </w:r>
          </w:p>
          <w:p w14:paraId="13855D87">
            <w:pPr>
              <w:numPr>
                <w:ilvl w:val="0"/>
                <w:numId w:val="2"/>
              </w:numPr>
              <w:jc w:val="left"/>
              <w:rPr>
                <w:highlight w:val="none"/>
              </w:rPr>
            </w:pPr>
            <w:r>
              <w:rPr>
                <w:highlight w:val="none"/>
              </w:rPr>
              <w:t xml:space="preserve">方案包含上述5项内容，每项得1分，最高得5分。 </w:t>
            </w:r>
          </w:p>
          <w:p w14:paraId="3356E535">
            <w:pPr>
              <w:numPr>
                <w:ilvl w:val="0"/>
                <w:numId w:val="2"/>
              </w:numPr>
              <w:ind w:left="0" w:leftChars="0" w:firstLine="0" w:firstLineChars="0"/>
              <w:jc w:val="left"/>
              <w:rPr>
                <w:highlight w:val="none"/>
              </w:rPr>
            </w:pPr>
            <w:r>
              <w:rPr>
                <w:highlight w:val="none"/>
              </w:rPr>
              <w:t>在方案同时包含上述5项内容基础上根据方案内容进行加分：（1）服务方案全面详实，服务承诺内容对本项目有很多的实际指导意义或优化效果，具备完整的质量控制措施及完备的特殊情况处理措施，可操作性强，优于</w:t>
            </w:r>
            <w:r>
              <w:rPr>
                <w:rFonts w:hint="eastAsia"/>
                <w:highlight w:val="none"/>
                <w:lang w:val="en-US" w:eastAsia="zh-CN"/>
              </w:rPr>
              <w:t>采购</w:t>
            </w:r>
            <w:r>
              <w:rPr>
                <w:highlight w:val="none"/>
              </w:rPr>
              <w:t>文件要求的，得10分； （2）服务方案</w:t>
            </w:r>
            <w:r>
              <w:rPr>
                <w:rFonts w:hint="eastAsia"/>
                <w:highlight w:val="none"/>
                <w:lang w:val="en-US" w:eastAsia="zh-CN"/>
              </w:rPr>
              <w:t>较</w:t>
            </w:r>
            <w:r>
              <w:rPr>
                <w:highlight w:val="none"/>
              </w:rPr>
              <w:t>全面，具备服务承诺、质量控制措施和特殊情况处理措施，有一定的可操作性，满足</w:t>
            </w:r>
            <w:r>
              <w:rPr>
                <w:rFonts w:hint="eastAsia"/>
                <w:highlight w:val="none"/>
                <w:lang w:val="en-US" w:eastAsia="zh-CN"/>
              </w:rPr>
              <w:t>采购</w:t>
            </w:r>
            <w:r>
              <w:rPr>
                <w:highlight w:val="none"/>
              </w:rPr>
              <w:t>文件要求的，得</w:t>
            </w:r>
            <w:r>
              <w:rPr>
                <w:rFonts w:hint="eastAsia"/>
                <w:highlight w:val="none"/>
                <w:lang w:val="en-US" w:eastAsia="zh-CN"/>
              </w:rPr>
              <w:t>6</w:t>
            </w:r>
            <w:r>
              <w:rPr>
                <w:highlight w:val="none"/>
              </w:rPr>
              <w:t>分； （3）提供服务方案，方案内容不完整，不具备可操作性，不完全满足</w:t>
            </w:r>
            <w:r>
              <w:rPr>
                <w:rFonts w:hint="eastAsia"/>
                <w:highlight w:val="none"/>
                <w:lang w:val="en-US" w:eastAsia="zh-CN"/>
              </w:rPr>
              <w:t>采购</w:t>
            </w:r>
            <w:r>
              <w:rPr>
                <w:highlight w:val="none"/>
              </w:rPr>
              <w:t>文件要求的，得</w:t>
            </w:r>
            <w:r>
              <w:rPr>
                <w:rFonts w:hint="eastAsia"/>
                <w:highlight w:val="none"/>
                <w:lang w:val="en-US" w:eastAsia="zh-CN"/>
              </w:rPr>
              <w:t>2</w:t>
            </w:r>
            <w:r>
              <w:rPr>
                <w:highlight w:val="none"/>
              </w:rPr>
              <w:t xml:space="preserve">分。 </w:t>
            </w:r>
          </w:p>
          <w:p w14:paraId="1AFE16FD">
            <w:pPr>
              <w:numPr>
                <w:ilvl w:val="0"/>
                <w:numId w:val="0"/>
              </w:numPr>
              <w:ind w:left="0" w:leftChars="0" w:firstLine="0" w:firstLineChars="0"/>
              <w:jc w:val="left"/>
              <w:rPr>
                <w:rFonts w:ascii="宋体" w:hAnsi="宋体" w:eastAsia="宋体" w:cs="Times New Roman"/>
                <w:color w:val="000000"/>
                <w:kern w:val="0"/>
                <w:sz w:val="21"/>
                <w:szCs w:val="21"/>
                <w:highlight w:val="none"/>
                <w:lang w:val="en-US" w:eastAsia="zh-CN" w:bidi="ar-SA"/>
              </w:rPr>
            </w:pPr>
            <w:r>
              <w:rPr>
                <w:rFonts w:hint="eastAsia"/>
                <w:highlight w:val="none"/>
                <w:lang w:eastAsia="zh-CN"/>
              </w:rPr>
              <w:t>3.</w:t>
            </w:r>
            <w:r>
              <w:rPr>
                <w:highlight w:val="none"/>
              </w:rPr>
              <w:t>不提供方案不得分。</w:t>
            </w:r>
          </w:p>
        </w:tc>
      </w:tr>
      <w:tr w14:paraId="2BBA6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C4252D1"/>
        </w:tc>
        <w:tc>
          <w:tcPr>
            <w:tcW w:w="2307" w:type="dxa"/>
          </w:tcPr>
          <w:p w14:paraId="7FCB3263">
            <w:pPr>
              <w:pStyle w:val="13"/>
              <w:jc w:val="left"/>
            </w:pPr>
            <w:r>
              <w:rPr>
                <w:rFonts w:hint="eastAsia" w:ascii="宋体" w:hAnsi="宋体" w:eastAsia="宋体" w:cs="Times New Roman"/>
                <w:color w:val="000000"/>
                <w:kern w:val="0"/>
                <w:szCs w:val="21"/>
                <w:highlight w:val="none"/>
                <w:lang w:eastAsia="zh-CN"/>
              </w:rPr>
              <w:t>项目方案响应（</w:t>
            </w:r>
            <w:r>
              <w:t>1</w:t>
            </w:r>
            <w:r>
              <w:rPr>
                <w:rFonts w:hint="eastAsia"/>
                <w:lang w:val="en-US" w:eastAsia="zh-CN"/>
              </w:rPr>
              <w:t>5</w:t>
            </w:r>
            <w:r>
              <w:t>.0分</w:t>
            </w:r>
            <w:r>
              <w:rPr>
                <w:rFonts w:hint="eastAsia"/>
                <w:lang w:eastAsia="zh-CN"/>
              </w:rPr>
              <w:t>）</w:t>
            </w:r>
          </w:p>
        </w:tc>
        <w:tc>
          <w:tcPr>
            <w:tcW w:w="5076" w:type="dxa"/>
            <w:shd w:val="clear" w:color="auto" w:fill="auto"/>
            <w:vAlign w:val="top"/>
          </w:tcPr>
          <w:p w14:paraId="380DE384">
            <w:pPr>
              <w:jc w:val="left"/>
              <w:rPr>
                <w:highlight w:val="none"/>
              </w:rPr>
            </w:pPr>
            <w:r>
              <w:rPr>
                <w:highlight w:val="none"/>
              </w:rPr>
              <w:t>根据</w:t>
            </w:r>
            <w:r>
              <w:rPr>
                <w:rFonts w:hint="eastAsia"/>
                <w:highlight w:val="none"/>
                <w:lang w:val="en-US" w:eastAsia="zh-CN"/>
              </w:rPr>
              <w:t>供应商</w:t>
            </w:r>
            <w:r>
              <w:rPr>
                <w:highlight w:val="none"/>
              </w:rPr>
              <w:t xml:space="preserve">针对本项目制定的管理要求响应方案进行评审，响应方案内容应包括但不限于：①保险工作制度响应方案；②理赔权限响应方案；③快速通道响应方案；④索赔资料响应方案；⑤判决/调解/裁决及鉴定结果认可方案。本评分项最高得15分。 </w:t>
            </w:r>
          </w:p>
          <w:p w14:paraId="4E62E4DB">
            <w:pPr>
              <w:numPr>
                <w:ilvl w:val="0"/>
                <w:numId w:val="3"/>
              </w:numPr>
              <w:jc w:val="left"/>
              <w:rPr>
                <w:highlight w:val="none"/>
              </w:rPr>
            </w:pPr>
            <w:r>
              <w:rPr>
                <w:highlight w:val="none"/>
              </w:rPr>
              <w:t xml:space="preserve">方案包含上述5项内容，每项得1分，最高得5分。 </w:t>
            </w:r>
          </w:p>
          <w:p w14:paraId="5220A750">
            <w:pPr>
              <w:numPr>
                <w:ilvl w:val="0"/>
                <w:numId w:val="3"/>
              </w:numPr>
              <w:ind w:left="0" w:leftChars="0" w:firstLine="0" w:firstLineChars="0"/>
              <w:jc w:val="left"/>
              <w:rPr>
                <w:highlight w:val="none"/>
              </w:rPr>
            </w:pPr>
            <w:r>
              <w:rPr>
                <w:highlight w:val="none"/>
              </w:rPr>
              <w:t>在方案同时包含上述5项内容基础上根据方案内容进行加分：（1）方案内容全面且具体，针对性及可操作性强，优于本项目需求的，得10分； （2）方案内容</w:t>
            </w:r>
            <w:r>
              <w:rPr>
                <w:rFonts w:hint="eastAsia"/>
                <w:highlight w:val="none"/>
                <w:lang w:val="en-US" w:eastAsia="zh-CN"/>
              </w:rPr>
              <w:t>较</w:t>
            </w:r>
            <w:r>
              <w:rPr>
                <w:highlight w:val="none"/>
              </w:rPr>
              <w:t>详细，针对性及可操作性</w:t>
            </w:r>
            <w:r>
              <w:rPr>
                <w:rFonts w:hint="eastAsia"/>
                <w:highlight w:val="none"/>
                <w:lang w:val="en-US" w:eastAsia="zh-CN"/>
              </w:rPr>
              <w:t>较强</w:t>
            </w:r>
            <w:r>
              <w:rPr>
                <w:highlight w:val="none"/>
              </w:rPr>
              <w:t>，满足本项目需求的，得</w:t>
            </w:r>
            <w:r>
              <w:rPr>
                <w:rFonts w:hint="eastAsia"/>
                <w:highlight w:val="none"/>
                <w:lang w:val="en-US" w:eastAsia="zh-CN"/>
              </w:rPr>
              <w:t>6</w:t>
            </w:r>
            <w:r>
              <w:rPr>
                <w:highlight w:val="none"/>
              </w:rPr>
              <w:t>分； （3）方案内容简单，针对性及可操作性较差，不能完全满足本项目需求的，得</w:t>
            </w:r>
            <w:r>
              <w:rPr>
                <w:rFonts w:hint="eastAsia"/>
                <w:highlight w:val="none"/>
                <w:lang w:val="en-US" w:eastAsia="zh-CN"/>
              </w:rPr>
              <w:t>2</w:t>
            </w:r>
            <w:r>
              <w:rPr>
                <w:highlight w:val="none"/>
              </w:rPr>
              <w:t xml:space="preserve">分。 </w:t>
            </w:r>
          </w:p>
          <w:p w14:paraId="0CC66E27">
            <w:pPr>
              <w:numPr>
                <w:ilvl w:val="0"/>
                <w:numId w:val="0"/>
              </w:numPr>
              <w:ind w:left="0" w:leftChars="0" w:firstLine="0" w:firstLineChars="0"/>
              <w:jc w:val="left"/>
              <w:rPr>
                <w:rFonts w:ascii="宋体" w:hAnsi="宋体" w:eastAsia="宋体" w:cs="Times New Roman"/>
                <w:color w:val="000000"/>
                <w:kern w:val="0"/>
                <w:sz w:val="21"/>
                <w:szCs w:val="21"/>
                <w:highlight w:val="none"/>
                <w:lang w:val="en-US" w:eastAsia="zh-CN" w:bidi="ar-SA"/>
              </w:rPr>
            </w:pPr>
            <w:r>
              <w:rPr>
                <w:rFonts w:hint="eastAsia"/>
                <w:highlight w:val="none"/>
                <w:lang w:eastAsia="zh-CN"/>
              </w:rPr>
              <w:t>3.</w:t>
            </w:r>
            <w:r>
              <w:rPr>
                <w:highlight w:val="none"/>
              </w:rPr>
              <w:t>不提供方案不得分。</w:t>
            </w:r>
          </w:p>
        </w:tc>
      </w:tr>
      <w:tr w14:paraId="5B9ED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B5CCD45"/>
        </w:tc>
        <w:tc>
          <w:tcPr>
            <w:tcW w:w="2307" w:type="dxa"/>
          </w:tcPr>
          <w:p w14:paraId="2DDC3FA6">
            <w:pPr>
              <w:pStyle w:val="13"/>
              <w:jc w:val="left"/>
            </w:pPr>
            <w:r>
              <w:rPr>
                <w:rFonts w:hint="eastAsia" w:ascii="Times New Roman" w:hAnsi="Times New Roman" w:eastAsia="宋体" w:cs="Times New Roman"/>
                <w:color w:val="auto"/>
                <w:sz w:val="21"/>
                <w:highlight w:val="none"/>
              </w:rPr>
              <w:t>理赔时效承诺</w:t>
            </w:r>
            <w:r>
              <w:t xml:space="preserve"> </w:t>
            </w:r>
            <w:r>
              <w:rPr>
                <w:rFonts w:hint="eastAsia"/>
                <w:lang w:eastAsia="zh-CN"/>
              </w:rPr>
              <w:t>（</w:t>
            </w:r>
            <w:r>
              <w:rPr>
                <w:rFonts w:hint="eastAsia"/>
                <w:lang w:val="en-US" w:eastAsia="zh-CN"/>
              </w:rPr>
              <w:t>5.</w:t>
            </w:r>
            <w:r>
              <w:t>0分</w:t>
            </w:r>
            <w:r>
              <w:rPr>
                <w:rFonts w:hint="eastAsia"/>
                <w:lang w:eastAsia="zh-CN"/>
              </w:rPr>
              <w:t>）</w:t>
            </w:r>
          </w:p>
        </w:tc>
        <w:tc>
          <w:tcPr>
            <w:tcW w:w="5076" w:type="dxa"/>
            <w:shd w:val="clear" w:color="auto" w:fill="auto"/>
            <w:vAlign w:val="center"/>
          </w:tcPr>
          <w:p w14:paraId="17F7F726">
            <w:pPr>
              <w:widowControl/>
              <w:spacing w:line="240" w:lineRule="auto"/>
              <w:jc w:val="left"/>
              <w:rPr>
                <w:rFonts w:hint="eastAsia" w:ascii="Times New Roman" w:hAnsi="Times New Roman" w:eastAsia="宋体" w:cs="Times New Roman"/>
                <w:color w:val="auto"/>
                <w:sz w:val="21"/>
                <w:highlight w:val="none"/>
                <w:lang w:eastAsia="zh-CN"/>
              </w:rPr>
            </w:pPr>
            <w:r>
              <w:rPr>
                <w:rFonts w:hint="eastAsia" w:cs="Times New Roman"/>
                <w:color w:val="auto"/>
                <w:sz w:val="21"/>
                <w:highlight w:val="none"/>
                <w:lang w:val="en-US" w:eastAsia="zh-CN"/>
              </w:rPr>
              <w:t>根据</w:t>
            </w:r>
            <w:r>
              <w:rPr>
                <w:rFonts w:hint="eastAsia" w:ascii="Times New Roman" w:hAnsi="Times New Roman" w:eastAsia="宋体" w:cs="Times New Roman"/>
                <w:color w:val="auto"/>
                <w:sz w:val="21"/>
                <w:highlight w:val="none"/>
                <w:lang w:val="en-US" w:eastAsia="zh-CN"/>
              </w:rPr>
              <w:t>供应商</w:t>
            </w:r>
            <w:r>
              <w:rPr>
                <w:rFonts w:hint="eastAsia" w:cs="Times New Roman"/>
                <w:color w:val="auto"/>
                <w:sz w:val="21"/>
                <w:highlight w:val="none"/>
                <w:lang w:val="en-US" w:eastAsia="zh-CN"/>
              </w:rPr>
              <w:t>提供</w:t>
            </w:r>
            <w:r>
              <w:rPr>
                <w:rFonts w:hint="eastAsia" w:ascii="Times New Roman" w:hAnsi="Times New Roman" w:eastAsia="宋体" w:cs="Times New Roman"/>
                <w:color w:val="auto"/>
                <w:sz w:val="21"/>
                <w:highlight w:val="none"/>
              </w:rPr>
              <w:t>结案赔付时效承诺（保险责任明确、资料齐全的前提下）</w:t>
            </w:r>
            <w:r>
              <w:rPr>
                <w:rFonts w:hint="eastAsia" w:cs="Times New Roman"/>
                <w:color w:val="auto"/>
                <w:sz w:val="21"/>
                <w:highlight w:val="none"/>
                <w:lang w:val="en-US" w:eastAsia="zh-CN"/>
              </w:rPr>
              <w:t>进行</w:t>
            </w:r>
            <w:r>
              <w:rPr>
                <w:rFonts w:hint="eastAsia" w:ascii="Times New Roman" w:hAnsi="Times New Roman" w:eastAsia="宋体" w:cs="Times New Roman"/>
                <w:color w:val="auto"/>
                <w:sz w:val="21"/>
                <w:highlight w:val="none"/>
              </w:rPr>
              <w:t>评审</w:t>
            </w:r>
            <w:r>
              <w:rPr>
                <w:rFonts w:hint="eastAsia" w:cs="Times New Roman"/>
                <w:color w:val="auto"/>
                <w:sz w:val="21"/>
                <w:highlight w:val="none"/>
                <w:lang w:eastAsia="zh-CN"/>
              </w:rPr>
              <w:t>：</w:t>
            </w:r>
          </w:p>
          <w:p w14:paraId="7A27D990">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（1）1万元以下（含1万元）的赔案，3个工作日内作出赔付；承诺3个工作日内赔付得1分，多一天扣0.5分，此项最低扣至0分；</w:t>
            </w:r>
          </w:p>
          <w:p w14:paraId="1B872047">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（2）</w:t>
            </w:r>
            <w:r>
              <w:rPr>
                <w:rFonts w:hint="eastAsia" w:ascii="Times New Roman" w:hAnsi="Times New Roman" w:eastAsia="宋体" w:cs="Times New Roman"/>
                <w:color w:val="auto"/>
                <w:sz w:val="21"/>
                <w:highlight w:val="none"/>
                <w:lang w:eastAsia="zh-CN"/>
              </w:rPr>
              <w:t>1万—5万</w:t>
            </w:r>
            <w:r>
              <w:rPr>
                <w:rFonts w:hint="eastAsia" w:ascii="Times New Roman" w:hAnsi="Times New Roman" w:eastAsia="宋体" w:cs="Times New Roman"/>
                <w:color w:val="auto"/>
                <w:sz w:val="21"/>
                <w:highlight w:val="none"/>
              </w:rPr>
              <w:t>元（不含1万元，含5万元）的赔案，5个工作日内作出赔付；承诺5个工作日内赔付得1分，多一天扣0.5分，此项最低扣至0分；</w:t>
            </w:r>
          </w:p>
          <w:p w14:paraId="4974A9B4">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（3）</w:t>
            </w:r>
            <w:r>
              <w:rPr>
                <w:rFonts w:hint="eastAsia" w:ascii="Times New Roman" w:hAnsi="Times New Roman" w:eastAsia="宋体" w:cs="Times New Roman"/>
                <w:color w:val="auto"/>
                <w:sz w:val="21"/>
                <w:highlight w:val="none"/>
                <w:lang w:eastAsia="zh-CN"/>
              </w:rPr>
              <w:t>5万—20万</w:t>
            </w:r>
            <w:r>
              <w:rPr>
                <w:rFonts w:hint="eastAsia" w:ascii="Times New Roman" w:hAnsi="Times New Roman" w:eastAsia="宋体" w:cs="Times New Roman"/>
                <w:color w:val="auto"/>
                <w:sz w:val="21"/>
                <w:highlight w:val="none"/>
              </w:rPr>
              <w:t>元（不含5万元，含20万元）的赔案，7个工作日内作出赔付；承诺7个工作日内赔付得1分，多一天扣0.5分，此项最低扣至0分；</w:t>
            </w:r>
          </w:p>
          <w:p w14:paraId="589D0F2C">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w:t>
            </w:r>
            <w:r>
              <w:rPr>
                <w:rFonts w:hint="eastAsia" w:ascii="Times New Roman" w:hAnsi="Times New Roman" w:eastAsia="宋体" w:cs="Times New Roman"/>
                <w:color w:val="auto"/>
                <w:sz w:val="21"/>
                <w:highlight w:val="none"/>
                <w:lang w:eastAsia="zh-CN"/>
              </w:rPr>
              <w:t>20万—30万</w:t>
            </w:r>
            <w:r>
              <w:rPr>
                <w:rFonts w:hint="eastAsia" w:ascii="Times New Roman" w:hAnsi="Times New Roman" w:eastAsia="宋体" w:cs="Times New Roman"/>
                <w:color w:val="auto"/>
                <w:sz w:val="21"/>
                <w:highlight w:val="none"/>
              </w:rPr>
              <w:t>元（不含20万元，含30万元）的赔案，10个工作日内作出赔付；承诺10个工作日内赔付得1分，多一天扣0.5分，此项最低扣至0分；</w:t>
            </w:r>
          </w:p>
          <w:p w14:paraId="4780BCFB">
            <w:pPr>
              <w:widowControl/>
              <w:spacing w:line="240" w:lineRule="auto"/>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（5）30万元以上（不含30万元）的赔案在15个工作日内作出赔付。承诺15个工作日内赔付得1分，多一天扣0.5分，此项最低扣至0分；</w:t>
            </w:r>
          </w:p>
          <w:p w14:paraId="2EDCCC5B">
            <w:pPr>
              <w:adjustRightInd w:val="0"/>
              <w:snapToGrid w:val="0"/>
              <w:spacing w:line="300" w:lineRule="exact"/>
              <w:rPr>
                <w:rFonts w:hint="eastAsia" w:ascii="宋体" w:hAnsi="宋体" w:eastAsia="宋体" w:cs="宋体"/>
                <w:b/>
                <w:color w:val="000000"/>
                <w:kern w:val="0"/>
                <w:sz w:val="21"/>
                <w:szCs w:val="21"/>
                <w:highlight w:val="none"/>
                <w:lang w:val="en-US" w:eastAsia="zh-CN" w:bidi="ar-SA"/>
              </w:rPr>
            </w:pPr>
            <w:r>
              <w:rPr>
                <w:rFonts w:hint="eastAsia" w:ascii="Times New Roman" w:hAnsi="Times New Roman" w:eastAsia="宋体" w:cs="Times New Roman"/>
                <w:b/>
                <w:bCs/>
                <w:color w:val="auto"/>
                <w:sz w:val="21"/>
                <w:highlight w:val="none"/>
              </w:rPr>
              <w:t>注：</w:t>
            </w:r>
            <w:r>
              <w:rPr>
                <w:rFonts w:hint="eastAsia" w:ascii="Times New Roman" w:hAnsi="Times New Roman" w:eastAsia="宋体" w:cs="Times New Roman"/>
                <w:b/>
                <w:bCs/>
                <w:color w:val="auto"/>
                <w:sz w:val="21"/>
                <w:highlight w:val="none"/>
                <w:lang w:val="en-US" w:eastAsia="zh-CN"/>
              </w:rPr>
              <w:t>须</w:t>
            </w:r>
            <w:r>
              <w:rPr>
                <w:rFonts w:hint="eastAsia" w:ascii="Times New Roman" w:hAnsi="Times New Roman" w:eastAsia="宋体" w:cs="Times New Roman"/>
                <w:b/>
                <w:bCs/>
                <w:color w:val="auto"/>
                <w:sz w:val="21"/>
                <w:highlight w:val="none"/>
              </w:rPr>
              <w:t>提供承诺</w:t>
            </w:r>
            <w:r>
              <w:rPr>
                <w:rFonts w:hint="eastAsia" w:cs="Times New Roman"/>
                <w:b/>
                <w:bCs/>
                <w:color w:val="auto"/>
                <w:sz w:val="21"/>
                <w:highlight w:val="none"/>
                <w:lang w:val="en-US" w:eastAsia="zh-CN"/>
              </w:rPr>
              <w:t>函并</w:t>
            </w:r>
            <w:r>
              <w:rPr>
                <w:rFonts w:hint="eastAsia" w:ascii="Times New Roman" w:hAnsi="Times New Roman" w:eastAsia="宋体" w:cs="Times New Roman"/>
                <w:b/>
                <w:bCs/>
                <w:color w:val="auto"/>
                <w:sz w:val="21"/>
                <w:highlight w:val="none"/>
              </w:rPr>
              <w:t>加盖公章</w:t>
            </w:r>
            <w:r>
              <w:rPr>
                <w:rFonts w:hint="eastAsia" w:ascii="Times New Roman" w:hAnsi="Times New Roman" w:eastAsia="宋体" w:cs="Times New Roman"/>
                <w:b/>
                <w:bCs/>
                <w:color w:val="auto"/>
                <w:sz w:val="21"/>
                <w:highlight w:val="none"/>
                <w:lang w:eastAsia="zh-CN"/>
              </w:rPr>
              <w:t>，</w:t>
            </w:r>
            <w:r>
              <w:rPr>
                <w:rFonts w:hint="eastAsia" w:ascii="Times New Roman" w:hAnsi="Times New Roman" w:eastAsia="宋体" w:cs="Times New Roman"/>
                <w:b/>
                <w:bCs/>
                <w:color w:val="auto"/>
                <w:sz w:val="21"/>
                <w:highlight w:val="none"/>
                <w:lang w:val="en-US" w:eastAsia="zh-CN"/>
              </w:rPr>
              <w:t>不</w:t>
            </w:r>
            <w:r>
              <w:rPr>
                <w:rFonts w:hint="eastAsia" w:ascii="Times New Roman" w:hAnsi="Times New Roman" w:eastAsia="宋体" w:cs="Times New Roman"/>
                <w:b/>
                <w:bCs/>
                <w:color w:val="auto"/>
                <w:sz w:val="21"/>
                <w:highlight w:val="none"/>
              </w:rPr>
              <w:t>提供不得分。</w:t>
            </w:r>
          </w:p>
        </w:tc>
      </w:tr>
      <w:tr w14:paraId="10085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41975CE"/>
        </w:tc>
        <w:tc>
          <w:tcPr>
            <w:tcW w:w="2307" w:type="dxa"/>
          </w:tcPr>
          <w:p w14:paraId="3E347B90">
            <w:pPr>
              <w:pStyle w:val="13"/>
              <w:jc w:val="left"/>
              <w:rPr>
                <w:rFonts w:hint="eastAsia" w:ascii="Times New Roman" w:hAnsi="Times New Roman" w:eastAsia="宋体" w:cs="Times New Roman"/>
                <w:color w:val="auto"/>
                <w:sz w:val="21"/>
                <w:highlight w:val="none"/>
              </w:rPr>
            </w:pPr>
            <w:r>
              <w:rPr>
                <w:rFonts w:hint="eastAsia" w:ascii="宋体" w:hAnsi="宋体" w:eastAsia="宋体" w:cs="宋体"/>
                <w:kern w:val="0"/>
                <w:szCs w:val="21"/>
                <w:highlight w:val="none"/>
              </w:rPr>
              <w:t>服务人员配置</w:t>
            </w:r>
            <w:r>
              <w:rPr>
                <w:rFonts w:hint="eastAsia" w:ascii="宋体" w:hAnsi="宋体" w:eastAsia="宋体" w:cs="宋体"/>
                <w:kern w:val="0"/>
                <w:szCs w:val="21"/>
                <w:highlight w:val="none"/>
                <w:lang w:val="en-US" w:eastAsia="zh-CN"/>
              </w:rPr>
              <w:t>方案（</w:t>
            </w:r>
            <w:r>
              <w:t>1</w:t>
            </w:r>
            <w:r>
              <w:rPr>
                <w:rFonts w:hint="eastAsia"/>
                <w:lang w:val="en-US" w:eastAsia="zh-CN"/>
              </w:rPr>
              <w:t>0</w:t>
            </w:r>
            <w:r>
              <w:t>.0分</w:t>
            </w:r>
            <w:r>
              <w:rPr>
                <w:rFonts w:hint="eastAsia"/>
                <w:lang w:eastAsia="zh-CN"/>
              </w:rPr>
              <w:t>）</w:t>
            </w:r>
          </w:p>
        </w:tc>
        <w:tc>
          <w:tcPr>
            <w:tcW w:w="5076" w:type="dxa"/>
            <w:shd w:val="clear" w:color="auto" w:fill="auto"/>
            <w:vAlign w:val="center"/>
          </w:tcPr>
          <w:p w14:paraId="7553F6D0">
            <w:pPr>
              <w:numPr>
                <w:ilvl w:val="0"/>
                <w:numId w:val="4"/>
              </w:numPr>
              <w:adjustRightInd w:val="0"/>
              <w:snapToGrid w:val="0"/>
              <w:spacing w:line="300" w:lineRule="exact"/>
              <w:rPr>
                <w:highlight w:val="none"/>
              </w:rPr>
            </w:pPr>
            <w:r>
              <w:rPr>
                <w:highlight w:val="none"/>
              </w:rPr>
              <w:t>投标人拟投入本项目服务人员数量≥5人，得10分；</w:t>
            </w:r>
          </w:p>
          <w:p w14:paraId="1F86AFEF">
            <w:pPr>
              <w:numPr>
                <w:ilvl w:val="0"/>
                <w:numId w:val="0"/>
              </w:numPr>
              <w:adjustRightInd w:val="0"/>
              <w:snapToGrid w:val="0"/>
              <w:spacing w:line="300" w:lineRule="exact"/>
              <w:rPr>
                <w:highlight w:val="none"/>
              </w:rPr>
            </w:pPr>
            <w:r>
              <w:rPr>
                <w:rFonts w:hint="eastAsia"/>
                <w:highlight w:val="none"/>
                <w:lang w:eastAsia="zh-CN"/>
              </w:rPr>
              <w:t>2.</w:t>
            </w:r>
            <w:r>
              <w:rPr>
                <w:highlight w:val="none"/>
              </w:rPr>
              <w:t>3≤投标人拟投入本项目服务</w:t>
            </w:r>
            <w:r>
              <w:rPr>
                <w:rFonts w:hint="eastAsia"/>
                <w:highlight w:val="none"/>
                <w:lang w:eastAsia="zh-CN"/>
              </w:rPr>
              <w:t>人员</w:t>
            </w:r>
            <w:r>
              <w:rPr>
                <w:highlight w:val="none"/>
              </w:rPr>
              <w:t>数量＜5人，得</w:t>
            </w:r>
            <w:r>
              <w:rPr>
                <w:rFonts w:hint="eastAsia"/>
                <w:highlight w:val="none"/>
                <w:lang w:val="en-US" w:eastAsia="zh-CN"/>
              </w:rPr>
              <w:t>6</w:t>
            </w:r>
            <w:r>
              <w:rPr>
                <w:highlight w:val="none"/>
              </w:rPr>
              <w:t xml:space="preserve">分； </w:t>
            </w:r>
          </w:p>
          <w:p w14:paraId="535129F1">
            <w:pPr>
              <w:numPr>
                <w:ilvl w:val="0"/>
                <w:numId w:val="0"/>
              </w:numPr>
              <w:adjustRightInd w:val="0"/>
              <w:snapToGrid w:val="0"/>
              <w:spacing w:line="300" w:lineRule="exact"/>
              <w:rPr>
                <w:highlight w:val="none"/>
              </w:rPr>
            </w:pPr>
            <w:r>
              <w:rPr>
                <w:rFonts w:hint="eastAsia"/>
                <w:highlight w:val="none"/>
                <w:lang w:eastAsia="zh-CN"/>
              </w:rPr>
              <w:t>3.</w:t>
            </w:r>
            <w:r>
              <w:rPr>
                <w:highlight w:val="none"/>
              </w:rPr>
              <w:t>1≤投标人拟投入本项目服务</w:t>
            </w:r>
            <w:r>
              <w:rPr>
                <w:rFonts w:hint="eastAsia"/>
                <w:highlight w:val="none"/>
                <w:lang w:eastAsia="zh-CN"/>
              </w:rPr>
              <w:t>人员</w:t>
            </w:r>
            <w:r>
              <w:rPr>
                <w:highlight w:val="none"/>
              </w:rPr>
              <w:t>数量＜3人，得</w:t>
            </w:r>
            <w:r>
              <w:rPr>
                <w:rFonts w:hint="eastAsia"/>
                <w:highlight w:val="none"/>
                <w:lang w:val="en-US" w:eastAsia="zh-CN"/>
              </w:rPr>
              <w:t>2</w:t>
            </w:r>
            <w:r>
              <w:rPr>
                <w:highlight w:val="none"/>
              </w:rPr>
              <w:t xml:space="preserve">分。 </w:t>
            </w:r>
          </w:p>
          <w:p w14:paraId="548E6086">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b/>
                <w:bCs/>
                <w:highlight w:val="none"/>
              </w:rPr>
              <w:t>注：1、以上拟投入人员须具备医学、保险、法律相关专业大专（或以上）学历，或具医学、保险、法律相关专业初级（或以上）职称；2、须提供以上人员的学历</w:t>
            </w:r>
            <w:r>
              <w:rPr>
                <w:rFonts w:hint="eastAsia"/>
                <w:b/>
                <w:bCs/>
                <w:highlight w:val="none"/>
                <w:lang w:val="en-US" w:eastAsia="zh-CN"/>
              </w:rPr>
              <w:t>或</w:t>
            </w:r>
            <w:r>
              <w:rPr>
                <w:b/>
                <w:bCs/>
                <w:highlight w:val="none"/>
              </w:rPr>
              <w:t>职称证书</w:t>
            </w:r>
            <w:r>
              <w:rPr>
                <w:rFonts w:hint="eastAsia"/>
                <w:b/>
                <w:bCs/>
                <w:highlight w:val="none"/>
                <w:lang w:val="en-US" w:eastAsia="zh-CN"/>
              </w:rPr>
              <w:t>复印件</w:t>
            </w:r>
            <w:r>
              <w:rPr>
                <w:b/>
                <w:bCs/>
                <w:highlight w:val="none"/>
              </w:rPr>
              <w:t>以及投标截止日前3个月内任意一个月</w:t>
            </w:r>
            <w:r>
              <w:rPr>
                <w:rFonts w:hint="eastAsia"/>
                <w:b/>
                <w:bCs/>
                <w:highlight w:val="none"/>
                <w:lang w:val="en-US" w:eastAsia="zh-CN"/>
              </w:rPr>
              <w:t>供应商</w:t>
            </w:r>
            <w:r>
              <w:rPr>
                <w:b/>
                <w:bCs/>
                <w:highlight w:val="none"/>
              </w:rPr>
              <w:t>为相关人员购买社保的证明文件</w:t>
            </w:r>
            <w:r>
              <w:rPr>
                <w:rFonts w:hint="eastAsia"/>
                <w:b/>
                <w:bCs/>
                <w:highlight w:val="none"/>
                <w:lang w:val="en-US" w:eastAsia="zh-CN"/>
              </w:rPr>
              <w:t>并加盖公章</w:t>
            </w:r>
            <w:r>
              <w:rPr>
                <w:b/>
                <w:bCs/>
                <w:highlight w:val="none"/>
              </w:rPr>
              <w:t>；</w:t>
            </w:r>
          </w:p>
        </w:tc>
      </w:tr>
      <w:tr w14:paraId="6D7E8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center"/>
          </w:tcPr>
          <w:p w14:paraId="75152F64">
            <w:pPr>
              <w:pStyle w:val="13"/>
              <w:jc w:val="center"/>
            </w:pPr>
            <w:r>
              <w:t>商务部分</w:t>
            </w:r>
          </w:p>
        </w:tc>
        <w:tc>
          <w:tcPr>
            <w:tcW w:w="2307" w:type="dxa"/>
          </w:tcPr>
          <w:p w14:paraId="4B0FD5D8">
            <w:pPr>
              <w:pStyle w:val="13"/>
              <w:jc w:val="left"/>
            </w:pPr>
            <w:r>
              <w:rPr>
                <w:highlight w:val="none"/>
              </w:rPr>
              <w:t>同类项目服务或承保经验</w:t>
            </w:r>
            <w:r>
              <w:t xml:space="preserve"> </w:t>
            </w:r>
            <w:r>
              <w:rPr>
                <w:rFonts w:hint="eastAsia"/>
                <w:lang w:eastAsia="zh-CN"/>
              </w:rPr>
              <w:t>（</w:t>
            </w:r>
            <w:r>
              <w:rPr>
                <w:rFonts w:hint="eastAsia"/>
                <w:lang w:val="en-US" w:eastAsia="zh-CN"/>
              </w:rPr>
              <w:t>10</w:t>
            </w:r>
            <w:r>
              <w:t>.0分</w:t>
            </w:r>
            <w:r>
              <w:rPr>
                <w:rFonts w:hint="eastAsia"/>
                <w:lang w:eastAsia="zh-CN"/>
              </w:rPr>
              <w:t>）</w:t>
            </w:r>
          </w:p>
        </w:tc>
        <w:tc>
          <w:tcPr>
            <w:tcW w:w="5076" w:type="dxa"/>
            <w:shd w:val="clear" w:color="auto" w:fill="auto"/>
            <w:vAlign w:val="center"/>
          </w:tcPr>
          <w:p w14:paraId="1AF81177">
            <w:pPr>
              <w:ind w:left="-63" w:leftChars="-30" w:right="-88" w:rightChars="-4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以合同签订时间为准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至今</w:t>
            </w:r>
            <w:r>
              <w:rPr>
                <w:rFonts w:hint="eastAsia" w:ascii="宋体" w:hAnsi="宋体" w:cs="宋体"/>
                <w:color w:val="auto"/>
                <w:sz w:val="21"/>
                <w:szCs w:val="21"/>
                <w:highlight w:val="none"/>
                <w:lang w:val="en-US" w:eastAsia="zh-CN"/>
              </w:rPr>
              <w:t>承担过</w:t>
            </w:r>
            <w:r>
              <w:rPr>
                <w:highlight w:val="none"/>
              </w:rPr>
              <w:t>同类项目服务或承保经验</w:t>
            </w:r>
            <w:r>
              <w:rPr>
                <w:rFonts w:hint="eastAsia" w:ascii="宋体" w:hAnsi="宋体" w:eastAsia="宋体" w:cs="宋体"/>
                <w:color w:val="auto"/>
                <w:sz w:val="21"/>
                <w:szCs w:val="21"/>
                <w:highlight w:val="none"/>
              </w:rPr>
              <w:t>：</w:t>
            </w:r>
          </w:p>
          <w:p w14:paraId="61EBFAB4">
            <w:pPr>
              <w:ind w:left="-63" w:leftChars="-30" w:right="-88" w:rightChars="-4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提供一</w:t>
            </w:r>
            <w:r>
              <w:rPr>
                <w:rFonts w:hint="eastAsia" w:ascii="宋体" w:hAnsi="宋体" w:eastAsia="宋体" w:cs="宋体"/>
                <w:color w:val="auto"/>
                <w:sz w:val="21"/>
                <w:szCs w:val="21"/>
                <w:highlight w:val="none"/>
                <w:lang w:eastAsia="zh-CN"/>
              </w:rPr>
              <w:t>项同类项目服务或承保经验</w:t>
            </w:r>
            <w:r>
              <w:rPr>
                <w:rFonts w:hint="eastAsia" w:ascii="宋体" w:hAnsi="宋体" w:cs="宋体"/>
                <w:color w:val="auto"/>
                <w:sz w:val="21"/>
                <w:szCs w:val="21"/>
                <w:highlight w:val="none"/>
                <w:lang w:val="en-US" w:eastAsia="zh-CN"/>
              </w:rPr>
              <w:t>证明</w:t>
            </w:r>
            <w:r>
              <w:rPr>
                <w:rFonts w:hint="eastAsia" w:ascii="宋体" w:hAnsi="宋体" w:eastAsia="宋体" w:cs="宋体"/>
                <w:color w:val="auto"/>
                <w:sz w:val="21"/>
                <w:szCs w:val="21"/>
                <w:highlight w:val="none"/>
                <w:lang w:eastAsia="zh-CN"/>
              </w:rPr>
              <w:t>得1分，</w:t>
            </w:r>
            <w:r>
              <w:rPr>
                <w:rFonts w:hint="eastAsia" w:ascii="宋体" w:hAnsi="宋体" w:eastAsia="宋体" w:cs="宋体"/>
                <w:color w:val="auto"/>
                <w:sz w:val="21"/>
                <w:szCs w:val="21"/>
                <w:highlight w:val="none"/>
                <w:lang w:val="en-US" w:eastAsia="zh-CN"/>
              </w:rPr>
              <w:t>最高得10</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p w14:paraId="6565960D">
            <w:pPr>
              <w:adjustRightInd w:val="0"/>
              <w:snapToGrid w:val="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提供承保或服务保险合同/保单/服务协议</w:t>
            </w:r>
            <w:r>
              <w:rPr>
                <w:rFonts w:hint="eastAsia" w:ascii="宋体" w:hAnsi="宋体" w:eastAsia="宋体" w:cs="宋体"/>
                <w:b/>
                <w:bCs/>
                <w:color w:val="auto"/>
                <w:sz w:val="21"/>
                <w:szCs w:val="21"/>
                <w:highlight w:val="none"/>
                <w:lang w:eastAsia="zh-CN"/>
              </w:rPr>
              <w:t>复印件</w:t>
            </w:r>
            <w:r>
              <w:rPr>
                <w:rFonts w:hint="eastAsia" w:ascii="宋体" w:hAnsi="宋体" w:eastAsia="宋体" w:cs="宋体"/>
                <w:b/>
                <w:bCs/>
                <w:color w:val="auto"/>
                <w:sz w:val="21"/>
                <w:szCs w:val="21"/>
                <w:highlight w:val="none"/>
              </w:rPr>
              <w:t>关键页（所提供关键</w:t>
            </w:r>
            <w:r>
              <w:rPr>
                <w:rFonts w:hint="eastAsia" w:ascii="宋体" w:hAnsi="宋体" w:cs="宋体"/>
                <w:b/>
                <w:bCs/>
                <w:color w:val="auto"/>
                <w:sz w:val="21"/>
                <w:szCs w:val="21"/>
                <w:highlight w:val="none"/>
                <w:lang w:val="en-US" w:eastAsia="zh-CN"/>
              </w:rPr>
              <w:t>页</w:t>
            </w:r>
            <w:r>
              <w:rPr>
                <w:rFonts w:hint="eastAsia" w:ascii="宋体" w:hAnsi="宋体" w:eastAsia="宋体" w:cs="宋体"/>
                <w:b/>
                <w:bCs/>
                <w:color w:val="auto"/>
                <w:sz w:val="21"/>
                <w:szCs w:val="21"/>
                <w:highlight w:val="none"/>
              </w:rPr>
              <w:t>须能体现保险合同当事人及公章、服务/承保内容、被保险人名称等）</w:t>
            </w:r>
            <w:r>
              <w:rPr>
                <w:rFonts w:hint="eastAsia" w:ascii="宋体" w:hAnsi="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，不提供不得分。</w:t>
            </w:r>
            <w:r>
              <w:rPr>
                <w:rFonts w:hint="eastAsia" w:ascii="宋体" w:hAnsi="宋体" w:eastAsia="宋体" w:cs="宋体"/>
                <w:b/>
                <w:bCs/>
                <w:color w:val="auto"/>
                <w:sz w:val="21"/>
                <w:szCs w:val="21"/>
                <w:highlight w:val="none"/>
                <w:lang w:eastAsia="zh-CN"/>
              </w:rPr>
              <w:t>同一被保险人不得重复计算。</w:t>
            </w:r>
          </w:p>
        </w:tc>
      </w:tr>
      <w:tr w14:paraId="7320E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CB16892"/>
        </w:tc>
        <w:tc>
          <w:tcPr>
            <w:tcW w:w="2307" w:type="dxa"/>
          </w:tcPr>
          <w:p w14:paraId="06A97C5C">
            <w:pPr>
              <w:pStyle w:val="13"/>
              <w:jc w:val="left"/>
            </w:pPr>
            <w:r>
              <w:rPr>
                <w:rFonts w:hint="eastAsia" w:ascii="宋体" w:hAnsi="宋体" w:eastAsia="宋体" w:cs="宋体"/>
                <w:color w:val="auto"/>
                <w:sz w:val="21"/>
                <w:szCs w:val="21"/>
                <w:highlight w:val="none"/>
              </w:rPr>
              <w:t>履约能力</w:t>
            </w:r>
            <w:r>
              <w:t xml:space="preserve"> </w:t>
            </w:r>
            <w:r>
              <w:rPr>
                <w:rFonts w:hint="eastAsia"/>
                <w:lang w:eastAsia="zh-CN"/>
              </w:rPr>
              <w:t>（</w:t>
            </w:r>
            <w:r>
              <w:t>10.0分</w:t>
            </w:r>
            <w:r>
              <w:rPr>
                <w:rFonts w:hint="eastAsia"/>
                <w:lang w:eastAsia="zh-CN"/>
              </w:rPr>
              <w:t>）</w:t>
            </w:r>
          </w:p>
        </w:tc>
        <w:tc>
          <w:tcPr>
            <w:tcW w:w="5076" w:type="dxa"/>
            <w:shd w:val="clear" w:color="auto" w:fill="auto"/>
            <w:vAlign w:val="center"/>
          </w:tcPr>
          <w:p w14:paraId="316C07A4">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具备与人民调解机构理赔衔接的履约能力，每提供一个以人民调解协议结论履约赔付的案件得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C154429">
            <w:pPr>
              <w:adjustRightInd w:val="0"/>
              <w:snapToGrid w:val="0"/>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提供以人民调解协议作为理赔结论的赔付案例</w:t>
            </w:r>
            <w:r>
              <w:rPr>
                <w:rFonts w:hint="eastAsia" w:ascii="宋体" w:hAnsi="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，人民调解协议书和保险划款凭证作为评审依据，人民调解协议书</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与保险划款凭证金额一致，如未按要求提供相关证明材料的，则不得分。</w:t>
            </w:r>
          </w:p>
        </w:tc>
      </w:tr>
      <w:tr w14:paraId="4AA14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CD1595B"/>
        </w:tc>
        <w:tc>
          <w:tcPr>
            <w:tcW w:w="2307" w:type="dxa"/>
          </w:tcPr>
          <w:p w14:paraId="32F1391F">
            <w:pPr>
              <w:pStyle w:val="13"/>
              <w:jc w:val="left"/>
            </w:pPr>
            <w:r>
              <w:rPr>
                <w:rFonts w:hint="eastAsia" w:ascii="宋体" w:hAnsi="宋体" w:eastAsia="宋体" w:cs="宋体"/>
                <w:kern w:val="0"/>
                <w:szCs w:val="21"/>
                <w:highlight w:val="none"/>
              </w:rPr>
              <w:t>综合偿付能力充足率</w:t>
            </w:r>
            <w:r>
              <w:t xml:space="preserve"> </w:t>
            </w:r>
            <w:r>
              <w:rPr>
                <w:rFonts w:hint="eastAsia"/>
                <w:lang w:eastAsia="zh-CN"/>
              </w:rPr>
              <w:t>（</w:t>
            </w:r>
            <w:r>
              <w:t>5.0分</w:t>
            </w:r>
            <w:r>
              <w:rPr>
                <w:rFonts w:hint="eastAsia"/>
                <w:lang w:eastAsia="zh-CN"/>
              </w:rPr>
              <w:t>）</w:t>
            </w:r>
          </w:p>
        </w:tc>
        <w:tc>
          <w:tcPr>
            <w:tcW w:w="5076" w:type="dxa"/>
            <w:shd w:val="clear" w:color="auto" w:fill="auto"/>
            <w:vAlign w:val="center"/>
          </w:tcPr>
          <w:p w14:paraId="090CA371">
            <w:pPr>
              <w:tabs>
                <w:tab w:val="left" w:pos="840"/>
              </w:tabs>
              <w:rPr>
                <w:rFonts w:hint="eastAsia" w:ascii="宋体" w:hAnsi="宋体" w:eastAsia="宋体" w:cs="宋体"/>
                <w:kern w:val="0"/>
                <w:szCs w:val="21"/>
                <w:highlight w:val="none"/>
              </w:rPr>
            </w:pPr>
            <w:r>
              <w:rPr>
                <w:rFonts w:hint="eastAsia" w:ascii="宋体" w:hAnsi="宋体" w:eastAsia="宋体" w:cs="宋体"/>
                <w:kern w:val="0"/>
                <w:szCs w:val="21"/>
                <w:highlight w:val="none"/>
              </w:rPr>
              <w:t>综合偿付能力充足率不低于</w:t>
            </w:r>
            <w:r>
              <w:rPr>
                <w:rFonts w:hint="eastAsia" w:ascii="宋体" w:hAnsi="宋体" w:eastAsia="宋体" w:cs="宋体"/>
                <w:kern w:val="0"/>
                <w:szCs w:val="21"/>
                <w:highlight w:val="none"/>
                <w:u w:val="single"/>
              </w:rPr>
              <w:t>2</w:t>
            </w:r>
            <w:r>
              <w:rPr>
                <w:rFonts w:hint="eastAsia" w:ascii="宋体" w:hAnsi="宋体" w:cs="宋体"/>
                <w:kern w:val="0"/>
                <w:szCs w:val="21"/>
                <w:highlight w:val="none"/>
                <w:u w:val="single"/>
                <w:lang w:val="en-US" w:eastAsia="zh-CN"/>
              </w:rPr>
              <w:t>0</w:t>
            </w:r>
            <w:r>
              <w:rPr>
                <w:rFonts w:hint="eastAsia" w:ascii="宋体" w:hAnsi="宋体" w:eastAsia="宋体" w:cs="宋体"/>
                <w:kern w:val="0"/>
                <w:szCs w:val="21"/>
                <w:highlight w:val="none"/>
                <w:u w:val="single"/>
              </w:rPr>
              <w:t>0</w:t>
            </w:r>
            <w:r>
              <w:rPr>
                <w:rFonts w:hint="eastAsia" w:ascii="宋体" w:hAnsi="宋体" w:eastAsia="宋体" w:cs="宋体"/>
                <w:kern w:val="0"/>
                <w:szCs w:val="21"/>
                <w:highlight w:val="none"/>
              </w:rPr>
              <w:t>%的，得</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分；综合偿付能力充足率在2</w:t>
            </w: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0%基础上，每降低10%的，扣</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分（不足10%的按10%计算），</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分扣完即止。</w:t>
            </w:r>
          </w:p>
          <w:p w14:paraId="3B63A559">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kern w:val="0"/>
                <w:szCs w:val="21"/>
                <w:highlight w:val="none"/>
              </w:rPr>
              <w:t>注：</w:t>
            </w:r>
            <w:r>
              <w:rPr>
                <w:rFonts w:hint="eastAsia" w:ascii="宋体" w:hAnsi="宋体" w:eastAsia="宋体" w:cs="宋体"/>
                <w:b/>
                <w:bCs/>
                <w:kern w:val="0"/>
                <w:szCs w:val="21"/>
                <w:highlight w:val="none"/>
                <w:lang w:val="en-US" w:eastAsia="zh-CN"/>
              </w:rPr>
              <w:t>须</w:t>
            </w:r>
            <w:r>
              <w:rPr>
                <w:rFonts w:hint="eastAsia" w:ascii="宋体" w:hAnsi="宋体" w:eastAsia="宋体" w:cs="宋体"/>
                <w:b/>
                <w:bCs/>
                <w:kern w:val="0"/>
                <w:szCs w:val="21"/>
                <w:highlight w:val="none"/>
              </w:rPr>
              <w:t>提供</w:t>
            </w:r>
            <w:r>
              <w:rPr>
                <w:rFonts w:hint="eastAsia" w:ascii="宋体" w:hAnsi="宋体" w:eastAsia="宋体" w:cs="宋体"/>
                <w:b/>
                <w:bCs/>
                <w:kern w:val="0"/>
                <w:szCs w:val="21"/>
                <w:highlight w:val="none"/>
                <w:lang w:val="en-US" w:eastAsia="zh-CN"/>
              </w:rPr>
              <w:t>供应商</w:t>
            </w:r>
            <w:r>
              <w:rPr>
                <w:rFonts w:hint="eastAsia" w:ascii="宋体" w:hAnsi="宋体" w:eastAsia="宋体" w:cs="宋体"/>
                <w:b/>
                <w:bCs/>
                <w:kern w:val="0"/>
                <w:szCs w:val="21"/>
                <w:highlight w:val="none"/>
              </w:rPr>
              <w:t>20</w:t>
            </w:r>
            <w:r>
              <w:rPr>
                <w:rFonts w:hint="eastAsia" w:ascii="宋体" w:hAnsi="宋体" w:eastAsia="宋体" w:cs="宋体"/>
                <w:b/>
                <w:bCs/>
                <w:kern w:val="0"/>
                <w:szCs w:val="21"/>
                <w:highlight w:val="none"/>
                <w:lang w:val="en-US" w:eastAsia="zh-CN"/>
              </w:rPr>
              <w:t>2</w:t>
            </w:r>
            <w:r>
              <w:rPr>
                <w:rFonts w:hint="eastAsia" w:ascii="宋体" w:hAnsi="宋体" w:cs="宋体"/>
                <w:b/>
                <w:bCs/>
                <w:kern w:val="0"/>
                <w:szCs w:val="21"/>
                <w:highlight w:val="none"/>
                <w:lang w:val="en-US" w:eastAsia="zh-CN"/>
              </w:rPr>
              <w:t>4</w:t>
            </w:r>
            <w:r>
              <w:rPr>
                <w:rFonts w:hint="eastAsia" w:ascii="宋体" w:hAnsi="宋体" w:eastAsia="宋体" w:cs="宋体"/>
                <w:b/>
                <w:bCs/>
                <w:kern w:val="0"/>
                <w:szCs w:val="21"/>
                <w:highlight w:val="none"/>
              </w:rPr>
              <w:t>年</w:t>
            </w:r>
            <w:r>
              <w:rPr>
                <w:rFonts w:hint="eastAsia" w:ascii="宋体" w:hAnsi="宋体" w:eastAsia="宋体" w:cs="宋体"/>
                <w:b/>
                <w:bCs/>
                <w:kern w:val="0"/>
                <w:szCs w:val="21"/>
                <w:highlight w:val="none"/>
                <w:lang w:val="en-US" w:eastAsia="zh-CN"/>
              </w:rPr>
              <w:t>任意</w:t>
            </w:r>
            <w:r>
              <w:rPr>
                <w:rFonts w:hint="eastAsia" w:ascii="宋体" w:hAnsi="宋体" w:eastAsia="宋体" w:cs="宋体"/>
                <w:b/>
                <w:bCs/>
                <w:kern w:val="0"/>
                <w:szCs w:val="21"/>
                <w:highlight w:val="none"/>
                <w:lang w:eastAsia="zh-CN"/>
              </w:rPr>
              <w:t>季度</w:t>
            </w:r>
            <w:r>
              <w:rPr>
                <w:rFonts w:hint="eastAsia" w:ascii="宋体" w:hAnsi="宋体" w:eastAsia="宋体" w:cs="宋体"/>
                <w:b/>
                <w:bCs/>
                <w:kern w:val="0"/>
                <w:szCs w:val="21"/>
                <w:highlight w:val="none"/>
              </w:rPr>
              <w:t>数据作为证明材料</w:t>
            </w:r>
            <w:r>
              <w:rPr>
                <w:rFonts w:hint="eastAsia" w:ascii="宋体" w:hAnsi="宋体" w:cs="宋体"/>
                <w:b/>
                <w:bCs/>
                <w:kern w:val="0"/>
                <w:szCs w:val="21"/>
                <w:highlight w:val="none"/>
                <w:lang w:val="en-US" w:eastAsia="zh-CN"/>
              </w:rPr>
              <w:t>并加盖公章，不提供不得分</w:t>
            </w:r>
            <w:r>
              <w:rPr>
                <w:rFonts w:hint="eastAsia" w:ascii="宋体" w:hAnsi="宋体" w:eastAsia="宋体" w:cs="宋体"/>
                <w:b/>
                <w:bCs/>
                <w:kern w:val="0"/>
                <w:szCs w:val="21"/>
                <w:highlight w:val="none"/>
              </w:rPr>
              <w:t>。</w:t>
            </w:r>
          </w:p>
        </w:tc>
      </w:tr>
      <w:tr w14:paraId="431C6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51490C8"/>
        </w:tc>
        <w:tc>
          <w:tcPr>
            <w:tcW w:w="2307" w:type="dxa"/>
          </w:tcPr>
          <w:p w14:paraId="5B654790">
            <w:pPr>
              <w:pStyle w:val="13"/>
              <w:jc w:val="left"/>
            </w:pPr>
            <w:r>
              <w:rPr>
                <w:rFonts w:hint="eastAsia" w:ascii="宋体" w:hAnsi="宋体" w:eastAsia="宋体" w:cs="宋体"/>
                <w:kern w:val="0"/>
                <w:szCs w:val="21"/>
                <w:highlight w:val="none"/>
              </w:rPr>
              <w:t>追溯期</w:t>
            </w:r>
            <w:r>
              <w:t xml:space="preserve"> </w:t>
            </w:r>
            <w:r>
              <w:rPr>
                <w:rFonts w:hint="eastAsia"/>
                <w:lang w:eastAsia="zh-CN"/>
              </w:rPr>
              <w:t>（</w:t>
            </w:r>
            <w:r>
              <w:rPr>
                <w:rFonts w:hint="eastAsia"/>
                <w:lang w:val="en-US" w:eastAsia="zh-CN"/>
              </w:rPr>
              <w:t>10</w:t>
            </w:r>
            <w:r>
              <w:t>.0分</w:t>
            </w:r>
            <w:r>
              <w:rPr>
                <w:rFonts w:hint="eastAsia"/>
                <w:lang w:eastAsia="zh-CN"/>
              </w:rPr>
              <w:t>）</w:t>
            </w:r>
          </w:p>
        </w:tc>
        <w:tc>
          <w:tcPr>
            <w:tcW w:w="5076" w:type="dxa"/>
            <w:shd w:val="clear" w:color="auto" w:fill="auto"/>
            <w:vAlign w:val="center"/>
          </w:tcPr>
          <w:p w14:paraId="66B2D407">
            <w:pPr>
              <w:keepNext w:val="0"/>
              <w:keepLines w:val="0"/>
              <w:pageBreakBefore w:val="0"/>
              <w:widowControl/>
              <w:tabs>
                <w:tab w:val="left" w:pos="840"/>
              </w:tabs>
              <w:kinsoku/>
              <w:wordWrap/>
              <w:overflowPunct/>
              <w:topLinePunct w:val="0"/>
              <w:autoSpaceDE/>
              <w:autoSpaceDN/>
              <w:bidi w:val="0"/>
              <w:adjustRightInd/>
              <w:snapToGrid/>
              <w:spacing w:line="240" w:lineRule="auto"/>
              <w:textAlignment w:val="auto"/>
              <w:rPr>
                <w:highlight w:val="none"/>
              </w:rPr>
            </w:pPr>
            <w:r>
              <w:rPr>
                <w:highlight w:val="none"/>
              </w:rPr>
              <w:t>根据</w:t>
            </w:r>
            <w:r>
              <w:rPr>
                <w:rFonts w:hint="eastAsia"/>
                <w:highlight w:val="none"/>
                <w:lang w:val="en-US" w:eastAsia="zh-CN"/>
              </w:rPr>
              <w:t>供应商</w:t>
            </w:r>
            <w:r>
              <w:rPr>
                <w:highlight w:val="none"/>
              </w:rPr>
              <w:t xml:space="preserve">针对本项目追溯期（保险期间向前追溯）的承诺年限进行评审： </w:t>
            </w:r>
          </w:p>
          <w:p w14:paraId="62F046A0">
            <w:pPr>
              <w:keepNext w:val="0"/>
              <w:keepLines w:val="0"/>
              <w:pageBreakBefore w:val="0"/>
              <w:widowControl/>
              <w:numPr>
                <w:ilvl w:val="0"/>
                <w:numId w:val="5"/>
              </w:numPr>
              <w:tabs>
                <w:tab w:val="left" w:pos="840"/>
              </w:tabs>
              <w:kinsoku/>
              <w:wordWrap/>
              <w:overflowPunct/>
              <w:topLinePunct w:val="0"/>
              <w:autoSpaceDE/>
              <w:autoSpaceDN/>
              <w:bidi w:val="0"/>
              <w:adjustRightInd/>
              <w:snapToGrid/>
              <w:spacing w:line="240" w:lineRule="auto"/>
              <w:textAlignment w:val="auto"/>
              <w:rPr>
                <w:highlight w:val="none"/>
              </w:rPr>
            </w:pPr>
            <w:r>
              <w:rPr>
                <w:highlight w:val="none"/>
              </w:rPr>
              <w:t xml:space="preserve">承诺 3 年追溯期的，得 </w:t>
            </w:r>
            <w:r>
              <w:rPr>
                <w:rFonts w:hint="eastAsia"/>
                <w:highlight w:val="none"/>
                <w:lang w:val="en-US" w:eastAsia="zh-CN"/>
              </w:rPr>
              <w:t>10</w:t>
            </w:r>
            <w:r>
              <w:rPr>
                <w:highlight w:val="none"/>
              </w:rPr>
              <w:t xml:space="preserve">分；  </w:t>
            </w:r>
          </w:p>
          <w:p w14:paraId="704F6477">
            <w:pPr>
              <w:keepNext w:val="0"/>
              <w:keepLines w:val="0"/>
              <w:pageBreakBefore w:val="0"/>
              <w:widowControl/>
              <w:numPr>
                <w:ilvl w:val="0"/>
                <w:numId w:val="5"/>
              </w:numPr>
              <w:tabs>
                <w:tab w:val="left" w:pos="840"/>
              </w:tabs>
              <w:kinsoku/>
              <w:wordWrap/>
              <w:overflowPunct/>
              <w:topLinePunct w:val="0"/>
              <w:autoSpaceDE/>
              <w:autoSpaceDN/>
              <w:bidi w:val="0"/>
              <w:adjustRightInd/>
              <w:snapToGrid/>
              <w:spacing w:line="240" w:lineRule="auto"/>
              <w:ind w:left="0" w:leftChars="0" w:firstLine="0" w:firstLineChars="0"/>
              <w:textAlignment w:val="auto"/>
              <w:rPr>
                <w:highlight w:val="none"/>
              </w:rPr>
            </w:pPr>
            <w:r>
              <w:rPr>
                <w:highlight w:val="none"/>
              </w:rPr>
              <w:t xml:space="preserve">承诺 2 年≤年限＜3 年追溯期的，得 6 分；  </w:t>
            </w:r>
          </w:p>
          <w:p w14:paraId="64B901F8">
            <w:pPr>
              <w:keepNext w:val="0"/>
              <w:keepLines w:val="0"/>
              <w:pageBreakBefore w:val="0"/>
              <w:widowControl/>
              <w:numPr>
                <w:ilvl w:val="0"/>
                <w:numId w:val="5"/>
              </w:numPr>
              <w:tabs>
                <w:tab w:val="left" w:pos="840"/>
              </w:tabs>
              <w:kinsoku/>
              <w:wordWrap/>
              <w:overflowPunct/>
              <w:topLinePunct w:val="0"/>
              <w:autoSpaceDE/>
              <w:autoSpaceDN/>
              <w:bidi w:val="0"/>
              <w:adjustRightInd/>
              <w:snapToGrid/>
              <w:spacing w:line="240" w:lineRule="auto"/>
              <w:ind w:left="0" w:leftChars="0" w:firstLine="0" w:firstLineChars="0"/>
              <w:textAlignment w:val="auto"/>
              <w:rPr>
                <w:highlight w:val="none"/>
              </w:rPr>
            </w:pPr>
            <w:r>
              <w:rPr>
                <w:highlight w:val="none"/>
              </w:rPr>
              <w:t xml:space="preserve">承诺 1 年≤年限＜2 年追溯期的，得 2 分； </w:t>
            </w:r>
          </w:p>
          <w:p w14:paraId="7306669F">
            <w:pPr>
              <w:keepNext w:val="0"/>
              <w:keepLines w:val="0"/>
              <w:pageBreakBefore w:val="0"/>
              <w:widowControl/>
              <w:numPr>
                <w:ilvl w:val="0"/>
                <w:numId w:val="5"/>
              </w:numPr>
              <w:tabs>
                <w:tab w:val="left" w:pos="840"/>
              </w:tabs>
              <w:kinsoku/>
              <w:wordWrap/>
              <w:overflowPunct/>
              <w:topLinePunct w:val="0"/>
              <w:autoSpaceDE/>
              <w:autoSpaceDN/>
              <w:bidi w:val="0"/>
              <w:adjustRightInd/>
              <w:snapToGrid/>
              <w:spacing w:line="240" w:lineRule="auto"/>
              <w:ind w:left="0" w:leftChars="0" w:firstLine="0" w:firstLineChars="0"/>
              <w:textAlignment w:val="auto"/>
              <w:rPr>
                <w:highlight w:val="none"/>
              </w:rPr>
            </w:pPr>
            <w:r>
              <w:rPr>
                <w:highlight w:val="none"/>
              </w:rPr>
              <w:t xml:space="preserve">承诺年限＜1 年追溯期的，不得分；   </w:t>
            </w:r>
          </w:p>
          <w:p w14:paraId="3A3EC22C">
            <w:pPr>
              <w:keepNext w:val="0"/>
              <w:keepLines w:val="0"/>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0"/>
                <w:sz w:val="21"/>
                <w:szCs w:val="21"/>
                <w:highlight w:val="none"/>
                <w:lang w:val="en-US" w:eastAsia="zh-CN" w:bidi="ar-SA"/>
              </w:rPr>
            </w:pPr>
            <w:r>
              <w:rPr>
                <w:b/>
                <w:bCs/>
                <w:highlight w:val="none"/>
              </w:rPr>
              <w:t>注：</w:t>
            </w:r>
            <w:r>
              <w:rPr>
                <w:rFonts w:hint="eastAsia"/>
                <w:b/>
                <w:bCs/>
                <w:highlight w:val="none"/>
                <w:lang w:val="en-US" w:eastAsia="zh-CN"/>
              </w:rPr>
              <w:t>供应商</w:t>
            </w:r>
            <w:r>
              <w:rPr>
                <w:b/>
                <w:bCs/>
                <w:highlight w:val="none"/>
              </w:rPr>
              <w:t>投标时须提供追溯期承诺函原件（格式自拟）并加盖公章，不提供不得分。</w:t>
            </w:r>
          </w:p>
        </w:tc>
      </w:tr>
      <w:tr w14:paraId="5B658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2931672">
            <w:pPr>
              <w:pStyle w:val="13"/>
              <w:jc w:val="center"/>
            </w:pPr>
            <w:r>
              <w:t>投标报价</w:t>
            </w:r>
          </w:p>
        </w:tc>
        <w:tc>
          <w:tcPr>
            <w:tcW w:w="2307" w:type="dxa"/>
          </w:tcPr>
          <w:p w14:paraId="517C1A07">
            <w:pPr>
              <w:pStyle w:val="13"/>
              <w:jc w:val="left"/>
            </w:pPr>
            <w:r>
              <w:t xml:space="preserve">投标报价得分 </w:t>
            </w:r>
            <w:r>
              <w:rPr>
                <w:rFonts w:hint="eastAsia"/>
                <w:lang w:eastAsia="zh-CN"/>
              </w:rPr>
              <w:t>（</w:t>
            </w:r>
            <w:r>
              <w:rPr>
                <w:rFonts w:hint="eastAsia"/>
                <w:lang w:val="en-US" w:eastAsia="zh-CN"/>
              </w:rPr>
              <w:t>20</w:t>
            </w:r>
            <w:r>
              <w:t>.0分</w:t>
            </w:r>
            <w:r>
              <w:rPr>
                <w:rFonts w:hint="eastAsia"/>
                <w:lang w:eastAsia="zh-CN"/>
              </w:rPr>
              <w:t>）</w:t>
            </w:r>
          </w:p>
        </w:tc>
        <w:tc>
          <w:tcPr>
            <w:tcW w:w="5076" w:type="dxa"/>
          </w:tcPr>
          <w:p w14:paraId="75596E87">
            <w:pPr>
              <w:pStyle w:val="13"/>
              <w:jc w:val="left"/>
            </w:pPr>
            <w:r>
              <w:t xml:space="preserve">投标报价得分＝（评标基准价/投标报价）×价格分值（注：满足招标文件要求且投标价格最低的投标报价为评标基准价。）最低报价不是中标的唯一依据。【注：满足招标文件要求且“XXXX”报价最低的为评标基准价。如：投标报价XXXX </w:t>
            </w:r>
            <w:r>
              <w:rPr>
                <w:rFonts w:hint="eastAsia"/>
                <w:lang w:val="en-US" w:eastAsia="zh-CN"/>
              </w:rPr>
              <w:t>20</w:t>
            </w:r>
            <w:r>
              <w:t>%为报价最低，评标基准价为</w:t>
            </w:r>
            <w:r>
              <w:rPr>
                <w:rFonts w:hint="eastAsia"/>
                <w:lang w:val="en-US" w:eastAsia="zh-CN"/>
              </w:rPr>
              <w:t>20</w:t>
            </w:r>
            <w:r>
              <w:t>%，得满分 】。</w:t>
            </w:r>
          </w:p>
        </w:tc>
      </w:tr>
    </w:tbl>
    <w:p w14:paraId="75A9C8D4">
      <w:pPr>
        <w:pStyle w:val="13"/>
        <w:outlineLvl w:val="3"/>
      </w:pPr>
      <w:r>
        <w:rPr>
          <w:rFonts w:hint="eastAsia"/>
          <w:b/>
          <w:sz w:val="24"/>
          <w:lang w:val="en-US" w:eastAsia="zh-CN"/>
        </w:rPr>
        <w:t>5</w:t>
      </w:r>
      <w:r>
        <w:rPr>
          <w:b/>
          <w:sz w:val="24"/>
        </w:rPr>
        <w:t>.汇总、排序</w:t>
      </w:r>
    </w:p>
    <w:p w14:paraId="1ECAE6FE">
      <w:pPr>
        <w:pStyle w:val="13"/>
        <w:ind w:firstLine="400" w:firstLineChars="200"/>
      </w:pPr>
      <w:r>
        <w:t>评标结果按评审后总得分由高到低顺序排列。总得分相同的按投标报价由低到高顺序排列。得分且投标报价相同的，由评委会采取随机抽取的方式确定。</w:t>
      </w:r>
      <w:r>
        <w:rPr>
          <w:color w:val="auto"/>
        </w:rPr>
        <w:t>排名第一的投标供应商为第一中标候选人，排名第二的投标供应商为第二中标候选人（提供相同品</w:t>
      </w:r>
      <w:r>
        <w:t>牌产品</w:t>
      </w:r>
      <w:r>
        <w:rPr>
          <w:rFonts w:hint="eastAsia"/>
          <w:lang w:eastAsia="zh-CN"/>
        </w:rPr>
        <w:t>，</w:t>
      </w:r>
      <w:r>
        <w:t>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1797930D">
      <w:pPr>
        <w:pStyle w:val="13"/>
        <w:outlineLvl w:val="3"/>
      </w:pPr>
      <w:r>
        <w:rPr>
          <w:rFonts w:hint="eastAsia"/>
          <w:b/>
          <w:sz w:val="24"/>
          <w:lang w:val="en-US" w:eastAsia="zh-CN"/>
        </w:rPr>
        <w:t>6</w:t>
      </w:r>
      <w:r>
        <w:rPr>
          <w:b/>
          <w:sz w:val="24"/>
        </w:rPr>
        <w:t>.中标价的确定</w:t>
      </w:r>
    </w:p>
    <w:p w14:paraId="6FA36AA4">
      <w:pPr>
        <w:pStyle w:val="13"/>
        <w:ind w:firstLine="480"/>
      </w:pPr>
      <w:r>
        <w:t>除了按第四章第一点第7条修正并经投标人确认的投标报价作为中标价外，中标价以开标时公开唱标价为准。</w:t>
      </w:r>
    </w:p>
    <w:p w14:paraId="4C6236C0">
      <w:pPr>
        <w:pStyle w:val="13"/>
        <w:outlineLvl w:val="3"/>
      </w:pPr>
      <w:r>
        <w:rPr>
          <w:rFonts w:hint="eastAsia"/>
          <w:b/>
          <w:sz w:val="24"/>
          <w:lang w:val="en-US" w:eastAsia="zh-CN"/>
        </w:rPr>
        <w:t>7</w:t>
      </w:r>
      <w:r>
        <w:rPr>
          <w:b/>
          <w:sz w:val="24"/>
        </w:rPr>
        <w:t>.其他无效投标的情形：</w:t>
      </w:r>
    </w:p>
    <w:p w14:paraId="17563236">
      <w:pPr>
        <w:pStyle w:val="13"/>
        <w:ind w:firstLine="480"/>
      </w:pPr>
      <w:r>
        <w:rPr>
          <w:rFonts w:hint="eastAsia"/>
          <w:lang w:eastAsia="zh-CN"/>
        </w:rPr>
        <w:t>（</w:t>
      </w:r>
      <w:r>
        <w:t>1</w:t>
      </w:r>
      <w:r>
        <w:rPr>
          <w:rFonts w:hint="eastAsia"/>
          <w:lang w:eastAsia="zh-CN"/>
        </w:rPr>
        <w:t>）</w:t>
      </w:r>
      <w:r>
        <w:t>评标期间，投标人没有按评标委员会的要求提交法定代表人或其委托代理人签字的澄清、说明、补正或改变了</w:t>
      </w:r>
      <w:r>
        <w:rPr>
          <w:rFonts w:hint="eastAsia"/>
          <w:lang w:eastAsia="zh-CN"/>
        </w:rPr>
        <w:t>磋商文件</w:t>
      </w:r>
      <w:r>
        <w:t>的实质性内容的。</w:t>
      </w:r>
    </w:p>
    <w:p w14:paraId="6A21B021">
      <w:pPr>
        <w:pStyle w:val="13"/>
        <w:ind w:firstLine="480"/>
      </w:pPr>
      <w:r>
        <w:rPr>
          <w:rFonts w:hint="eastAsia"/>
          <w:lang w:eastAsia="zh-CN"/>
        </w:rPr>
        <w:t>（</w:t>
      </w:r>
      <w:r>
        <w:t>2</w:t>
      </w:r>
      <w:r>
        <w:rPr>
          <w:rFonts w:hint="eastAsia"/>
          <w:lang w:eastAsia="zh-CN"/>
        </w:rPr>
        <w:t>）磋商文件</w:t>
      </w:r>
      <w:r>
        <w:t>提供虚假材料的。</w:t>
      </w:r>
    </w:p>
    <w:p w14:paraId="60C0B0DA">
      <w:pPr>
        <w:pStyle w:val="13"/>
        <w:ind w:firstLine="480"/>
      </w:pPr>
      <w:r>
        <w:rPr>
          <w:rFonts w:hint="eastAsia"/>
          <w:lang w:eastAsia="zh-CN"/>
        </w:rPr>
        <w:t>（</w:t>
      </w:r>
      <w:r>
        <w:t>3</w:t>
      </w:r>
      <w:r>
        <w:rPr>
          <w:rFonts w:hint="eastAsia"/>
          <w:lang w:eastAsia="zh-CN"/>
        </w:rPr>
        <w:t>）</w:t>
      </w:r>
      <w:r>
        <w:t>投标人以他人名义投标、串通投标、以行贿手段谋取中标或者以其他弄虚作假方式投标的。</w:t>
      </w:r>
    </w:p>
    <w:p w14:paraId="2DAD8867">
      <w:pPr>
        <w:pStyle w:val="13"/>
        <w:ind w:firstLine="480"/>
      </w:pPr>
      <w:r>
        <w:rPr>
          <w:rFonts w:hint="eastAsia"/>
          <w:lang w:eastAsia="zh-CN"/>
        </w:rPr>
        <w:t>（</w:t>
      </w:r>
      <w:r>
        <w:t>4</w:t>
      </w:r>
      <w:r>
        <w:rPr>
          <w:rFonts w:hint="eastAsia"/>
          <w:lang w:eastAsia="zh-CN"/>
        </w:rPr>
        <w:t>）</w:t>
      </w:r>
      <w:r>
        <w:t>投标人对采购人、</w:t>
      </w:r>
      <w:r>
        <w:rPr>
          <w:rFonts w:hint="eastAsia"/>
          <w:lang w:eastAsia="zh-CN"/>
        </w:rPr>
        <w:t>采购人</w:t>
      </w:r>
      <w:r>
        <w:t>、评标委员会及其工作人员施加影响，有碍招标公平、公正的。</w:t>
      </w:r>
    </w:p>
    <w:p w14:paraId="0D9FEF3F">
      <w:pPr>
        <w:pStyle w:val="13"/>
        <w:ind w:firstLine="480"/>
      </w:pPr>
      <w:r>
        <w:rPr>
          <w:rFonts w:hint="eastAsia"/>
          <w:lang w:eastAsia="zh-CN"/>
        </w:rPr>
        <w:t>（</w:t>
      </w:r>
      <w:r>
        <w:t>5</w:t>
      </w:r>
      <w:r>
        <w:rPr>
          <w:rFonts w:hint="eastAsia"/>
          <w:lang w:eastAsia="zh-CN"/>
        </w:rPr>
        <w:t>）磋商文件</w:t>
      </w:r>
      <w:r>
        <w:t>含有采购人不能接受的附加条件的。</w:t>
      </w:r>
    </w:p>
    <w:p w14:paraId="5CFA73E6">
      <w:pPr>
        <w:pStyle w:val="13"/>
        <w:ind w:firstLine="480"/>
      </w:pPr>
      <w:r>
        <w:rPr>
          <w:rFonts w:hint="eastAsia"/>
          <w:lang w:eastAsia="zh-CN"/>
        </w:rPr>
        <w:t>（</w:t>
      </w:r>
      <w:r>
        <w:t>6</w:t>
      </w:r>
      <w:r>
        <w:rPr>
          <w:rFonts w:hint="eastAsia"/>
          <w:lang w:eastAsia="zh-CN"/>
        </w:rPr>
        <w:t>）</w:t>
      </w:r>
      <w:r>
        <w:t>法律、法规和招标文件规定的其他无效情形。</w:t>
      </w:r>
    </w:p>
    <w:p w14:paraId="7FD695DA">
      <w:pPr>
        <w:rPr>
          <w:b/>
          <w:sz w:val="36"/>
        </w:rPr>
      </w:pPr>
      <w:r>
        <w:rPr>
          <w:b/>
          <w:sz w:val="36"/>
        </w:rPr>
        <w:br w:type="page"/>
      </w:r>
    </w:p>
    <w:p w14:paraId="595C6132">
      <w:pPr>
        <w:pStyle w:val="13"/>
        <w:jc w:val="center"/>
        <w:outlineLvl w:val="1"/>
      </w:pPr>
      <w:r>
        <w:rPr>
          <w:b/>
          <w:sz w:val="36"/>
        </w:rPr>
        <w:t>第五章 合同文本</w:t>
      </w:r>
    </w:p>
    <w:p w14:paraId="1DB8F538">
      <w:pPr>
        <w:pStyle w:val="13"/>
        <w:jc w:val="center"/>
        <w:rPr>
          <w:rFonts w:hint="eastAsia"/>
          <w:b/>
          <w:sz w:val="52"/>
          <w:lang w:eastAsia="zh-CN"/>
        </w:rPr>
      </w:pPr>
    </w:p>
    <w:p w14:paraId="362EB4A2">
      <w:pPr>
        <w:pStyle w:val="13"/>
        <w:jc w:val="center"/>
        <w:rPr>
          <w:rFonts w:hint="eastAsia"/>
          <w:b/>
          <w:sz w:val="52"/>
          <w:lang w:eastAsia="zh-CN"/>
        </w:rPr>
      </w:pPr>
    </w:p>
    <w:p w14:paraId="6A911911">
      <w:pPr>
        <w:pStyle w:val="13"/>
        <w:jc w:val="center"/>
        <w:rPr>
          <w:rFonts w:hint="eastAsia"/>
          <w:b/>
          <w:sz w:val="52"/>
          <w:lang w:eastAsia="zh-CN"/>
        </w:rPr>
      </w:pPr>
      <w:r>
        <w:rPr>
          <w:rFonts w:hint="eastAsia"/>
          <w:b/>
          <w:sz w:val="52"/>
          <w:lang w:eastAsia="zh-CN"/>
        </w:rPr>
        <w:t>广东省生殖科学研究所</w:t>
      </w:r>
    </w:p>
    <w:p w14:paraId="74950654">
      <w:pPr>
        <w:pStyle w:val="13"/>
        <w:jc w:val="center"/>
        <w:rPr>
          <w:rFonts w:hint="eastAsia" w:eastAsiaTheme="minorEastAsia"/>
          <w:lang w:eastAsia="zh-CN"/>
        </w:rPr>
      </w:pPr>
      <w:r>
        <w:rPr>
          <w:rFonts w:hint="eastAsia"/>
          <w:b/>
          <w:sz w:val="52"/>
          <w:lang w:eastAsia="zh-CN"/>
        </w:rPr>
        <w:t>（广东省生殖医院）</w:t>
      </w:r>
    </w:p>
    <w:p w14:paraId="033E3BF6">
      <w:pPr>
        <w:pStyle w:val="13"/>
        <w:jc w:val="center"/>
      </w:pPr>
      <w:r>
        <w:rPr>
          <w:rFonts w:hint="eastAsia"/>
          <w:b/>
          <w:sz w:val="52"/>
          <w:lang w:val="en-US" w:eastAsia="zh-CN"/>
        </w:rPr>
        <w:t>医疗责任保险服务</w:t>
      </w:r>
      <w:r>
        <w:rPr>
          <w:b/>
          <w:sz w:val="52"/>
        </w:rPr>
        <w:t>采购合同书</w:t>
      </w:r>
    </w:p>
    <w:p w14:paraId="4E8E254A">
      <w:pPr>
        <w:pStyle w:val="13"/>
        <w:jc w:val="both"/>
      </w:pPr>
      <w:r>
        <w:rPr>
          <w:b/>
          <w:sz w:val="21"/>
        </w:rPr>
        <w:t xml:space="preserve">      </w:t>
      </w:r>
    </w:p>
    <w:p w14:paraId="1E100623">
      <w:pPr>
        <w:pStyle w:val="13"/>
        <w:jc w:val="both"/>
      </w:pPr>
      <w:r>
        <w:rPr>
          <w:b/>
          <w:sz w:val="32"/>
        </w:rPr>
        <w:t>项目名称：</w:t>
      </w:r>
    </w:p>
    <w:p w14:paraId="7A663A11">
      <w:pPr>
        <w:pStyle w:val="13"/>
        <w:jc w:val="both"/>
        <w:rPr>
          <w:rFonts w:hint="eastAsia" w:eastAsiaTheme="minorEastAsia"/>
          <w:lang w:eastAsia="zh-CN"/>
        </w:rPr>
      </w:pPr>
      <w:r>
        <w:rPr>
          <w:b/>
          <w:sz w:val="32"/>
        </w:rPr>
        <w:t>甲    方：</w:t>
      </w:r>
      <w:r>
        <w:rPr>
          <w:rFonts w:hint="eastAsia"/>
          <w:b/>
          <w:sz w:val="32"/>
          <w:u w:val="single"/>
          <w:lang w:eastAsia="zh-CN"/>
        </w:rPr>
        <w:t>广东省生殖科学研究所（广东省生殖医院）</w:t>
      </w:r>
    </w:p>
    <w:p w14:paraId="3343E7E6">
      <w:pPr>
        <w:pStyle w:val="13"/>
        <w:jc w:val="both"/>
      </w:pPr>
      <w:r>
        <w:rPr>
          <w:b/>
          <w:sz w:val="32"/>
        </w:rPr>
        <w:t>乙    方：</w:t>
      </w:r>
    </w:p>
    <w:p w14:paraId="740B829C">
      <w:pPr>
        <w:pStyle w:val="13"/>
        <w:jc w:val="both"/>
      </w:pPr>
      <w:r>
        <w:rPr>
          <w:b/>
          <w:sz w:val="32"/>
        </w:rPr>
        <w:t>签订时间：</w:t>
      </w:r>
      <w:r>
        <w:rPr>
          <w:b/>
          <w:sz w:val="32"/>
          <w:u w:val="single"/>
        </w:rPr>
        <w:t xml:space="preserve">      年    月    日</w:t>
      </w:r>
    </w:p>
    <w:p w14:paraId="6149A62E">
      <w:pPr>
        <w:pStyle w:val="13"/>
      </w:pPr>
      <w:r>
        <w:rPr>
          <w:b/>
          <w:sz w:val="21"/>
        </w:rPr>
        <w:t xml:space="preserve">         </w:t>
      </w:r>
    </w:p>
    <w:p w14:paraId="49F05964">
      <w:pPr>
        <w:rPr>
          <w:b/>
          <w:sz w:val="36"/>
        </w:rPr>
      </w:pPr>
      <w:r>
        <w:rPr>
          <w:b/>
          <w:sz w:val="36"/>
        </w:rPr>
        <w:br w:type="page"/>
      </w:r>
    </w:p>
    <w:p w14:paraId="71E08A5E">
      <w:pPr>
        <w:pStyle w:val="13"/>
        <w:jc w:val="center"/>
        <w:outlineLvl w:val="1"/>
      </w:pPr>
      <w:r>
        <w:rPr>
          <w:b/>
          <w:sz w:val="36"/>
        </w:rPr>
        <w:t xml:space="preserve">第六章 </w:t>
      </w:r>
      <w:r>
        <w:rPr>
          <w:rFonts w:hint="eastAsia"/>
          <w:b/>
          <w:sz w:val="36"/>
          <w:lang w:eastAsia="zh-CN"/>
        </w:rPr>
        <w:t>磋商文件</w:t>
      </w:r>
      <w:r>
        <w:rPr>
          <w:b/>
          <w:sz w:val="36"/>
        </w:rPr>
        <w:t>格式与要求</w:t>
      </w:r>
    </w:p>
    <w:p w14:paraId="3B441778">
      <w:pPr>
        <w:pStyle w:val="13"/>
        <w:ind w:firstLine="480"/>
      </w:pPr>
      <w:r>
        <w:t>投标人应提交证明其有资格参加投标和中标后有能力履行合同的相关文件，并作为其</w:t>
      </w:r>
      <w:r>
        <w:rPr>
          <w:rFonts w:hint="eastAsia"/>
          <w:lang w:eastAsia="zh-CN"/>
        </w:rPr>
        <w:t>磋商文件</w:t>
      </w:r>
      <w:r>
        <w:t>的一部分，所有文件必须真实可靠、不得伪造，否则将按相关规定予以处罚。</w:t>
      </w:r>
    </w:p>
    <w:p w14:paraId="65A648A9">
      <w:pPr>
        <w:pStyle w:val="13"/>
        <w:ind w:firstLine="480"/>
      </w:pPr>
      <w:r>
        <w:t>1.法人或者其他组织的营业执照等证明文件，自然人的身份证明：</w:t>
      </w:r>
    </w:p>
    <w:p w14:paraId="61454329">
      <w:pPr>
        <w:pStyle w:val="13"/>
        <w:ind w:firstLine="480"/>
      </w:pPr>
      <w:r>
        <w:t>法人包括企业法人、机关法人、事业单位法人和社会团体法人；其他组织主要包括合伙企业、非企业专业服务机构、个体工商户、农村承包经营户；自然人是指《中华人民共和国民法典》（以下简称《</w:t>
      </w:r>
      <w:r>
        <w:rPr>
          <w:rFonts w:hint="eastAsia"/>
          <w:lang w:eastAsia="zh-CN"/>
        </w:rPr>
        <w:t>中华人民共和国民法典</w:t>
      </w:r>
      <w:r>
        <w:t>》）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324286FA">
      <w:pPr>
        <w:pStyle w:val="13"/>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EAB2824">
      <w:pPr>
        <w:pStyle w:val="13"/>
        <w:ind w:firstLine="480"/>
      </w:pPr>
      <w:r>
        <w:t>2.财务状况报告，依法缴纳税收和社会保障资金的相关材料（详见资格性审查表要求）</w:t>
      </w:r>
    </w:p>
    <w:p w14:paraId="1337A4CA">
      <w:pPr>
        <w:pStyle w:val="13"/>
        <w:ind w:firstLine="480"/>
      </w:pPr>
      <w:r>
        <w:t>3.具有履行合同所必需的设备和专业技术能力的声明。</w:t>
      </w:r>
    </w:p>
    <w:p w14:paraId="0C6BD87F">
      <w:pPr>
        <w:pStyle w:val="13"/>
        <w:ind w:firstLine="480"/>
      </w:pPr>
      <w:r>
        <w:t>4.投标人参加政府采购前三年内在经营活动中没有重大违法记录书面声明函。</w:t>
      </w:r>
    </w:p>
    <w:p w14:paraId="31337829">
      <w:pPr>
        <w:pStyle w:val="13"/>
        <w:ind w:firstLine="480"/>
      </w:pPr>
      <w:r>
        <w:t>5.信用记录查询</w:t>
      </w:r>
    </w:p>
    <w:p w14:paraId="4FB9507D">
      <w:pPr>
        <w:pStyle w:val="13"/>
        <w:ind w:firstLine="480"/>
      </w:pPr>
      <w:r>
        <w:t>（1）查询渠道：通过“信用中国”网站</w:t>
      </w:r>
      <w:r>
        <w:rPr>
          <w:rFonts w:hint="eastAsia"/>
          <w:lang w:eastAsia="zh-CN"/>
        </w:rPr>
        <w:t>（</w:t>
      </w:r>
      <w:r>
        <w:t>www.creditchina.gov.cn</w:t>
      </w:r>
      <w:r>
        <w:rPr>
          <w:rFonts w:hint="eastAsia"/>
          <w:lang w:eastAsia="zh-CN"/>
        </w:rPr>
        <w:t>）</w:t>
      </w:r>
      <w:r>
        <w:t>和“中国政府采购网”（www.ccgp.gov.cn）进行查询；</w:t>
      </w:r>
    </w:p>
    <w:p w14:paraId="5BA2F621">
      <w:pPr>
        <w:pStyle w:val="13"/>
        <w:ind w:firstLine="480"/>
      </w:pPr>
      <w:r>
        <w:t>（2）查询截止时点：提交</w:t>
      </w:r>
      <w:r>
        <w:rPr>
          <w:rFonts w:hint="eastAsia"/>
          <w:lang w:eastAsia="zh-CN"/>
        </w:rPr>
        <w:t>磋商文件</w:t>
      </w:r>
      <w:r>
        <w:t>截止日当天；</w:t>
      </w:r>
    </w:p>
    <w:p w14:paraId="2088D26A">
      <w:pPr>
        <w:pStyle w:val="13"/>
        <w:ind w:firstLine="480"/>
      </w:pPr>
      <w:r>
        <w:t>（3）查询记录：对列入失信被执行人、重大税收违法案件当事人名单、政府采购严重违法失信行为记录名单、信用报告进行查询；</w:t>
      </w:r>
    </w:p>
    <w:p w14:paraId="31D37149">
      <w:pPr>
        <w:pStyle w:val="13"/>
        <w:ind w:firstLine="480"/>
      </w:pPr>
      <w:r>
        <w:rPr>
          <w:rFonts w:hint="eastAsia"/>
          <w:lang w:eastAsia="zh-CN"/>
        </w:rPr>
        <w:t>采购人</w:t>
      </w:r>
      <w:r>
        <w:t>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52A34F20">
      <w:pPr>
        <w:pStyle w:val="13"/>
        <w:ind w:firstLine="480"/>
      </w:pPr>
      <w:r>
        <w:t>6.按照招标文件要求，投标人应当提交的资格、资信证明文件。</w:t>
      </w:r>
    </w:p>
    <w:p w14:paraId="123878FB">
      <w:pPr>
        <w:pStyle w:val="7"/>
        <w:keepNext w:val="0"/>
        <w:keepLines w:val="0"/>
        <w:pageBreakBefore/>
        <w:widowControl w:val="0"/>
        <w:kinsoku/>
        <w:wordWrap/>
        <w:overflowPunct/>
        <w:topLinePunct w:val="0"/>
        <w:autoSpaceDE/>
        <w:autoSpaceDN/>
        <w:bidi w:val="0"/>
        <w:adjustRightInd/>
        <w:snapToGrid/>
        <w:ind w:firstLine="640" w:firstLineChars="400"/>
        <w:textAlignment w:val="auto"/>
        <w:rPr>
          <w:rFonts w:hint="eastAsia" w:ascii="宋体" w:hAnsi="宋体" w:eastAsia="宋体" w:cs="宋体"/>
          <w:b/>
          <w:bCs/>
          <w:color w:val="auto"/>
          <w:sz w:val="28"/>
          <w:szCs w:val="28"/>
          <w:lang w:eastAsia="zh-CN"/>
        </w:rPr>
      </w:pPr>
      <w:r>
        <w:br w:type="textWrapping"/>
      </w:r>
      <w:r>
        <w:rPr>
          <w:rFonts w:hint="eastAsia" w:ascii="宋体" w:hAnsi="宋体" w:cs="宋体"/>
          <w:b/>
          <w:bCs/>
          <w:color w:val="auto"/>
          <w:sz w:val="28"/>
          <w:szCs w:val="28"/>
        </w:rPr>
        <w:t>附件Ⅰ：广东省医疗机构医疗责任保险</w:t>
      </w:r>
      <w:r>
        <w:rPr>
          <w:rFonts w:hint="eastAsia" w:ascii="宋体" w:hAnsi="宋体" w:cs="宋体"/>
          <w:b/>
          <w:bCs/>
          <w:color w:val="auto"/>
          <w:sz w:val="28"/>
          <w:szCs w:val="28"/>
          <w:lang w:eastAsia="zh-CN"/>
        </w:rPr>
        <w:t>示范</w:t>
      </w:r>
      <w:r>
        <w:rPr>
          <w:rFonts w:hint="eastAsia" w:ascii="宋体" w:hAnsi="宋体" w:cs="宋体"/>
          <w:b/>
          <w:bCs/>
          <w:color w:val="auto"/>
          <w:sz w:val="28"/>
          <w:szCs w:val="28"/>
        </w:rPr>
        <w:t>条款</w:t>
      </w:r>
    </w:p>
    <w:p w14:paraId="7F870D04">
      <w:pPr>
        <w:adjustRightInd w:val="0"/>
        <w:snapToGrid w:val="0"/>
        <w:spacing w:after="156" w:afterLines="50"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总则</w:t>
      </w:r>
    </w:p>
    <w:p w14:paraId="086FBAC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第一条  本保险合同由保险合同文本、保险条款、投保单、批单、补充协议以及其他文件组成。凡涉及本保险合同的约定，均应采用书面形式。</w:t>
      </w:r>
    </w:p>
    <w:p w14:paraId="6329FB85">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第二条  凡在中国境内（不包括港澳台地区，下同）依照中华人民共和国法律（不包括香港、澳门及台湾地区法律，下同）设立、有固定场所并取得《医疗机构执业许可证》的医疗机构（以下简称“医疗机构”），均可作为本保险合同的投保人、被保险人。</w:t>
      </w:r>
    </w:p>
    <w:p w14:paraId="5B67CB8C">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保险责任</w:t>
      </w:r>
    </w:p>
    <w:p w14:paraId="4064721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第三条  在本保险合同中列明的保险期间或者追溯期内，被保险人或者其医务人员在从事与其资格相符的诊疗活动中发生以下情形之一造成患者人身损害，患者或者其近亲属或者其代理人在保险期间内首次向被保险人提出损害赔偿请求，依照中华人民共和国法律（不包括港、澳、台地区法律）应由被保险人承担的经济赔偿责任，保险人按照本保险合同约定负责赔偿：</w:t>
      </w:r>
    </w:p>
    <w:p w14:paraId="24EEB18B">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（一）患者在诊疗活动中受到损害，被保险人或者其医务人员有过错的，包括但不限于以下情形：</w:t>
      </w:r>
    </w:p>
    <w:p w14:paraId="1EF36D6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1. 医务人员在诊疗活动中未向患者或者其近亲属说明病情和医疗措施，需要实施手术、特殊检查、特殊治疗的，医务人员未及时向患者说明医疗风险、替代医疗方案等情况并取得其明确同意的；</w:t>
      </w:r>
    </w:p>
    <w:p w14:paraId="1535455E">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2. 医务人员在诊疗活动中未尽到与当时的医疗水平相应的诊疗义务；</w:t>
      </w:r>
    </w:p>
    <w:p w14:paraId="7B19303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3. 患者或者其近亲属不配合医疗机构进行符合诊疗护理规范的诊疗活动；</w:t>
      </w:r>
    </w:p>
    <w:p w14:paraId="6B8AD69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4. 被保险人非故意违反有关诊疗护理规范的。</w:t>
      </w:r>
    </w:p>
    <w:p w14:paraId="12DFA3D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（二）因药品、消毒产品、医疗器械的缺陷或者输入不合格的血液造成患者损害</w:t>
      </w:r>
      <w:r>
        <w:rPr>
          <w:rFonts w:hint="eastAsia" w:asciiTheme="minorEastAsia" w:hAnsiTheme="minorEastAsia" w:eastAsiaTheme="minorEastAsia" w:cstheme="minorEastAsia"/>
          <w:b w:val="0"/>
          <w:bCs w:val="0"/>
          <w:color w:val="000000"/>
          <w:sz w:val="18"/>
          <w:szCs w:val="18"/>
          <w:lang w:eastAsia="zh-CN"/>
        </w:rPr>
        <w:t>，</w:t>
      </w:r>
      <w:r>
        <w:rPr>
          <w:rFonts w:hint="eastAsia" w:asciiTheme="minorEastAsia" w:hAnsiTheme="minorEastAsia" w:eastAsiaTheme="minorEastAsia" w:cstheme="minorEastAsia"/>
          <w:b w:val="0"/>
          <w:bCs w:val="0"/>
          <w:color w:val="000000"/>
          <w:sz w:val="18"/>
          <w:szCs w:val="18"/>
        </w:rPr>
        <w:t>患者向被保险人请求赔偿的。</w:t>
      </w:r>
    </w:p>
    <w:p w14:paraId="1720803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第四条  发生可能引起本保险合同项下赔偿的情形时，被保险人作为被告或者第三人被提起诉讼或者仲裁，对于应由被保险人支付的法律费用：包括仲裁或诉讼费用（包括可能产生的案件受理费、勘验费、鉴定费、律师费、解剖费等）以及其他必要的、合理的法律费用（包括代表被保险人参加医疗损害鉴定或医疗事故鉴定或庭审的人员因参加上述活动而产生的差旅费以及专家咨询费），保险人按照本保险合同约定负责赔偿。</w:t>
      </w:r>
    </w:p>
    <w:p w14:paraId="55FFDCAE">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责任免除</w:t>
      </w:r>
    </w:p>
    <w:p w14:paraId="4EE3E25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第五条  下列原因造成的损失、费用和责任，保险人不负责赔偿：</w:t>
      </w:r>
    </w:p>
    <w:p w14:paraId="026CEDBC">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（一）被保险人或其医务人员的故意行为、犯罪行为；</w:t>
      </w:r>
    </w:p>
    <w:p w14:paraId="63B008D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（二）被保险人的医务人员在酒醉或药剂麻醉状态下进行诊疗活动；</w:t>
      </w:r>
    </w:p>
    <w:p w14:paraId="657034B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（三）战争、敌对行为、军事行动、武装冲突、恐怖活动、罢工、骚乱、暴动；</w:t>
      </w:r>
    </w:p>
    <w:p w14:paraId="0B0BF8FC">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（四）核反应、核子辐射和放射性污染，但被保险人或者其医务人员使用放射器材进行治疗发生的赔偿责任不在此限；</w:t>
      </w:r>
    </w:p>
    <w:p w14:paraId="07CE7BD3">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（五）地震、雷击、暴雨、洪水等自然灾害。</w:t>
      </w:r>
    </w:p>
    <w:p w14:paraId="4244ED2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第六条  因下列情形造成患者损害，保险人不负责赔偿：</w:t>
      </w:r>
    </w:p>
    <w:p w14:paraId="5822F8E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（一）被保险人或者其医务人员从事与其资格不符的诊疗活动的；</w:t>
      </w:r>
    </w:p>
    <w:p w14:paraId="6EFCDAA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（二）被保险人或者其医务人员从事未经国家有关部门许可的诊疗活动的；</w:t>
      </w:r>
    </w:p>
    <w:p w14:paraId="13340E4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（三）被保险人被吊销执业许可证或者其医务人员被取消执业资格或受停业、停职处分后仍继续进行诊疗活动的；</w:t>
      </w:r>
    </w:p>
    <w:p w14:paraId="46D03B8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（四）被保险人或者其医务人员使用未按国家有关规定获得批准的药品、消毒产品和医疗器械的；</w:t>
      </w:r>
    </w:p>
    <w:p w14:paraId="728C05C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（五）被保险人或者其医务人员在正当的诊疗护理、治疗范围外使用麻醉药品、医疗用毒性药品、精神药品和放射性药品的；</w:t>
      </w:r>
    </w:p>
    <w:p w14:paraId="0785715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（六）被保险人或者其医务人员为疫苗受种者接种疫苗导致不良反应所引起的索赔，但被保险人或者其医务人员存在过错的情形不在此限；</w:t>
      </w:r>
    </w:p>
    <w:p w14:paraId="43B92DC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（七）被保险人或者其医务人员采用的非为诊疗活动</w:t>
      </w:r>
      <w:r>
        <w:rPr>
          <w:rFonts w:hint="eastAsia" w:asciiTheme="minorEastAsia" w:hAnsiTheme="minorEastAsia" w:eastAsiaTheme="minorEastAsia" w:cstheme="minorEastAsia"/>
          <w:b w:val="0"/>
          <w:bCs w:val="0"/>
          <w:color w:val="000000"/>
          <w:sz w:val="18"/>
          <w:szCs w:val="18"/>
          <w:lang w:eastAsia="zh-CN"/>
        </w:rPr>
        <w:t>所必需的</w:t>
      </w:r>
      <w:r>
        <w:rPr>
          <w:rFonts w:hint="eastAsia" w:asciiTheme="minorEastAsia" w:hAnsiTheme="minorEastAsia" w:eastAsiaTheme="minorEastAsia" w:cstheme="minorEastAsia"/>
          <w:b w:val="0"/>
          <w:bCs w:val="0"/>
          <w:color w:val="000000"/>
          <w:sz w:val="18"/>
          <w:szCs w:val="18"/>
        </w:rPr>
        <w:t>整形及美容行为引起的索赔；</w:t>
      </w:r>
    </w:p>
    <w:p w14:paraId="356561B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（八）患者自杀的情形，但被保险人或者其医务人员在诊疗活动中存在过错的情形不在此限。</w:t>
      </w:r>
    </w:p>
    <w:p w14:paraId="2FED8D4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第七条  下列损失、费用和责任，保险人也不负责赔偿：</w:t>
      </w:r>
    </w:p>
    <w:p w14:paraId="3BEDFCD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（一）与被保险人存在雇佣关系的员工的人身伤亡，但其作为患者接受治疗时导致的人身伤亡不在此限；</w:t>
      </w:r>
    </w:p>
    <w:p w14:paraId="7D65CD4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（二）罚款、罚金或惩罚性赔款；</w:t>
      </w:r>
    </w:p>
    <w:p w14:paraId="717F77D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（三）本保险合同中载明的免赔额、按免赔率折算的免赔额；</w:t>
      </w:r>
    </w:p>
    <w:p w14:paraId="1FCA5D9B">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（四）被保险人应该承担的合同责任，但无合同存在时依法仍然应由被保险人承担的经济赔偿责任不在此限；</w:t>
      </w:r>
    </w:p>
    <w:p w14:paraId="46A72D4E">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（五）其他不属于本保险合同责任范围内的损失、费用和责任，保险人不负责赔偿。</w:t>
      </w:r>
    </w:p>
    <w:p w14:paraId="3BA051CA">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赔偿限额与免赔额（率）</w:t>
      </w:r>
    </w:p>
    <w:p w14:paraId="6EE9F4D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第八条  赔偿限额包括每次事故赔偿限额、累计赔偿限额、法律费用每次事故赔偿限额、法律费用累计赔偿限额。赔偿限额由投保人与保险人协商确定，并在本保险合同中载明。</w:t>
      </w:r>
    </w:p>
    <w:p w14:paraId="19D69FA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第九条  除另有约定外，本保险合同不设免赔额（率）。</w:t>
      </w:r>
    </w:p>
    <w:p w14:paraId="55F6E3AB">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保险期间与追溯期</w:t>
      </w:r>
    </w:p>
    <w:p w14:paraId="633B33B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第十条  除另有约定外，保险期间为一年，以保险单载明的起讫时间为准。本保险合同的追溯期由投保人与保险人协商确定并在保险单中载明，未载明的，无追溯期。</w:t>
      </w:r>
    </w:p>
    <w:p w14:paraId="038EC6A5">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保险人义务</w:t>
      </w:r>
    </w:p>
    <w:p w14:paraId="6EB44A8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第十一条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52B385B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第十二条  本保险合同成立后，保险人应当及时向投保人签发保险单或其他保险凭证。</w:t>
      </w:r>
    </w:p>
    <w:p w14:paraId="5EDA74E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第十三条  保险事故发生后，投保人、被保险人提供的有关索赔的证明和资料不完整的，保险人应当及时一次性通知投保人、被保险人补充提供。</w:t>
      </w:r>
    </w:p>
    <w:p w14:paraId="2DE1AC3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第十四条  保险人收到被保险人的赔偿请求后，应当及时作出是否属于保险责任的核定，并将核定结果通知被保险人。情形复杂的，应当在30日内做出核定并通知被保险人，对于属于保险责任的，在与被保险人达成有关赔偿保险金的协议后10日内，履行赔偿义务。</w:t>
      </w:r>
    </w:p>
    <w:p w14:paraId="6457143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保险人按照前款的规定作出核定后，对不属于保险责任的，应当自作出核定之日起3日内向被保险人发出拒绝赔偿保险金通知书，并说明理由。</w:t>
      </w:r>
    </w:p>
    <w:p w14:paraId="0A5B447A">
      <w:pPr>
        <w:adjustRightInd w:val="0"/>
        <w:snapToGrid w:val="0"/>
        <w:spacing w:after="156" w:afterLines="50" w:line="360" w:lineRule="auto"/>
        <w:ind w:firstLine="360" w:firstLineChars="200"/>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val="0"/>
          <w:bCs w:val="0"/>
          <w:color w:val="000000"/>
          <w:sz w:val="18"/>
          <w:szCs w:val="18"/>
        </w:rPr>
        <w:t>第十五条  保险人自收到赔偿保险金的请求和有关证明、资料之日起60日内，对其赔偿保险金的数额不能确定的，应当根据已有证明和资料可以确定的数额先予支付；保险人最终确定赔偿的数额后，应当支付相应的差额。</w:t>
      </w:r>
    </w:p>
    <w:p w14:paraId="61C62BCF">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投保人、被保险人义务</w:t>
      </w:r>
    </w:p>
    <w:p w14:paraId="41A8624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第十六条  订立保险合同，保险人就保险标的或者被保险人的有关情况提出询问的，投保人应当如实告知。</w:t>
      </w:r>
    </w:p>
    <w:p w14:paraId="34FF727C">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投保人故意或者因重大过失未履行前款规定的如实告知义务，足以影响保险人决定是否同意承保或者提高保险费率的，保险人有权解除保险合同。</w:t>
      </w:r>
    </w:p>
    <w:p w14:paraId="0B9B96D5">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前款规定的合同解除权，自保险人知道有解除事由之日起，超过30日不行使而消灭。自合同成立之日起超过2年的，保险人不得解除合同；发生保险事故的，保险人应当承担赔偿保险金的责任。</w:t>
      </w:r>
    </w:p>
    <w:p w14:paraId="7242E23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投保人故意不履行如实告知义务的，保险人对于合同解除前发生的保险事故，不承担赔偿保险金的责任，并不退还保险费。</w:t>
      </w:r>
    </w:p>
    <w:p w14:paraId="180C6F8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投保人因重大过失未履行如实告知义务，对保险事故的发生有严重影响的，保险人对于合同解除前发生的保险事故，不承担赔偿保险金的责任，但应当退还保险费。</w:t>
      </w:r>
    </w:p>
    <w:p w14:paraId="4DA019F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保险人在合同订立时已经知道投保人未如实告知的情况的，保险人不得解除合同；发生保险事故的，保险人应当承担赔偿保险金的责任。</w:t>
      </w:r>
    </w:p>
    <w:p w14:paraId="1869DC6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第十七条  投保人应按照本保险合同的约定缴纳保险费。</w:t>
      </w:r>
    </w:p>
    <w:p w14:paraId="1CCB99EE">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第十八条  被保险人应遵守《中华人民共和国执业医师法》、《医疗机构管理条例》及其实施细则、《护士条例》等法律、法规及其他规定，加强管理，教育医务人员遵守诊疗护理规范、常规，恪守医疗服务职业道德，采取合理的预防措施，尽力防止保险事故的发生。</w:t>
      </w:r>
    </w:p>
    <w:p w14:paraId="20A9A8E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人可以就被保险人遵守前款约定的情况，对被保险人及其医务人员的专业资格、使用药品和医疗器械及其他各项医疗条件进行查验，被保险人应积极协助并提供保险人需要的用以评估有关风险的详情和资料。但上述查验并不构成保险人对被保险人及其医务人员的专业资格、使用药品和医疗器械及其他各项医疗条件符合相关法律、法规或规定的确认。保险人将所发现的缺陷或危险书面告知被保险人后，被保险人应在力所能及，合理限度内及时采取整改措施。</w:t>
      </w:r>
    </w:p>
    <w:p w14:paraId="04E49B0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投保人、被保险人未按照约定履行上述安全义务的，保险人有权要求增加保险费或者解除本保险合同。</w:t>
      </w:r>
    </w:p>
    <w:p w14:paraId="2064311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第十九条  在本保险合同有效期内，本保险合同列明的重要事项（如医疗机构类型、医疗机构等级等）发生变更导致危险程度显著增加的，被保险人应当及时书面通知保险人，保险人有权增加保险费或解除本保险合同，增加保险费的，保险人应及时办理批改手续。</w:t>
      </w:r>
    </w:p>
    <w:p w14:paraId="708C77F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被保险人未履行前款约定的通知义务的，因保险标的的危险程度显著增加而发生的保险事故，保险人不承担赔偿保险金的责任。</w:t>
      </w:r>
    </w:p>
    <w:p w14:paraId="380AC81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第二十条  知道保险事故发生后，投保人、被保险人应当：</w:t>
      </w:r>
    </w:p>
    <w:p w14:paraId="7895151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（一）尽力采取必要的措施，避免或减轻对患者人身的损害，并防止赔偿扩大，否则，对因此扩大的损失，保险人不承担赔偿责任；</w:t>
      </w:r>
    </w:p>
    <w:p w14:paraId="151D240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及时通知保险人及本保险合同约定的调解委员会（投保人、保险人可协商确定人民调解委员会，并在本保险合同中载明，简称“调解委员会”），并书面说明事故发生的原因、经过和损失情况；保险人认可由调解委员会提供的报案信息并视同为及时报案，故意或者因重大过失未及时通知，致使保险事故的性质、原因、损失程度等难以确定的，保险人对无法确定的部分，不承担赔偿责任，但保险人通过其他途径已经及时知道或者应当及时知道保险事故发生的除外；</w:t>
      </w:r>
    </w:p>
    <w:p w14:paraId="1D5F41D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按照规定向有关部门报告，并按照规定的程序进行或申请进行调查、分析、鉴定。妥善保管有关的原始资料，不得涂改、伪造、隐匿或者违法销毁，并对引起不良后果的药品、消毒产品、医疗器械、血液等现场实物按照有关规定进行封存并妥善保管，以备查验；允许并且协助保险人进行事故调查。</w:t>
      </w:r>
    </w:p>
    <w:p w14:paraId="071A740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（四）保护事故现场，允许并且协助保险人进行事故调查。对于拒绝或者妨碍保险人进行事故调查导致无法认定事故原因或核实损失情况的，保险人对无法确定或核实的部分不承担赔偿责任。</w:t>
      </w:r>
    </w:p>
    <w:p w14:paraId="5C442C64">
      <w:pPr>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第二十一条  被保险人收到患者或者其近亲属或者其代理人的损害赔偿请求时，应立即通知保险人及调解委员会。未经保险人书面同意，被保险人对受害人及其近亲属、代理人作出的任何承诺、拒绝、出价、约定、付款或赔偿，保险人不受其约束。对于未经保险人同意而被保险人自行承诺或者支付的赔偿金额，如不属于本保险合同责任范围或者超出应赔偿限额的，保险人不承担赔偿责任。在处理索赔过程中，保险人有权自行处理由其承担最终赔偿责任的任何索赔案件，被保险人有义务向保险人提供其所能提供的资料和协助。</w:t>
      </w:r>
    </w:p>
    <w:p w14:paraId="1AB53D8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第二十二条  被保险人获悉可能发生诉讼、仲裁时，应立即以书面形式通知保险人；接到法院传票或者其他法律文书后，应将其副本及时送交保险人。保险人有权以被保险人名义或法律规定的第三人名义参加有关诉讼或者仲裁事宜，被保险人应提供有关文件并给予必要协助。</w:t>
      </w:r>
    </w:p>
    <w:p w14:paraId="2C88C43E">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对因未及时提供上述通知或者必要协助导致扩大的损失，保险人不承担赔偿责任。</w:t>
      </w:r>
    </w:p>
    <w:p w14:paraId="27EF002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第二十三条  被保险人请求赔偿时，应向保险人提供下列证明和材料：</w:t>
      </w:r>
    </w:p>
    <w:p w14:paraId="3EB83B7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（一）保险单正本、被保险人或其代表填具的索赔申请书；</w:t>
      </w:r>
    </w:p>
    <w:p w14:paraId="5C19F4B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（二）患者或者其近亲属或者其代理人向被保险人提出索赔的相关证明和资料；</w:t>
      </w:r>
    </w:p>
    <w:p w14:paraId="5401062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（三）有关医务人员的资格和执业证明、被保险人与有关医务人员的工作关系证明；</w:t>
      </w:r>
    </w:p>
    <w:p w14:paraId="73E7610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（四）患者完整的</w:t>
      </w:r>
      <w:r>
        <w:rPr>
          <w:rFonts w:hint="eastAsia" w:asciiTheme="minorEastAsia" w:hAnsiTheme="minorEastAsia" w:eastAsiaTheme="minorEastAsia" w:cstheme="minorEastAsia"/>
          <w:b w:val="0"/>
          <w:bCs w:val="0"/>
          <w:color w:val="000000"/>
          <w:sz w:val="18"/>
          <w:szCs w:val="18"/>
          <w:lang w:eastAsia="zh-CN"/>
        </w:rPr>
        <w:t>病历</w:t>
      </w:r>
      <w:r>
        <w:rPr>
          <w:rFonts w:hint="eastAsia" w:asciiTheme="minorEastAsia" w:hAnsiTheme="minorEastAsia" w:eastAsiaTheme="minorEastAsia" w:cstheme="minorEastAsia"/>
          <w:b w:val="0"/>
          <w:bCs w:val="0"/>
          <w:color w:val="000000"/>
          <w:sz w:val="18"/>
          <w:szCs w:val="18"/>
        </w:rPr>
        <w:t>资料：患者伤残的，应当提供司法鉴定机构依法出具的伤残鉴定报告；患者死亡的，应当提供公安机关或者医疗机构出具的死亡证明书等有关证明和资料；</w:t>
      </w:r>
    </w:p>
    <w:p w14:paraId="0B254FB3">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（五）事故情况说明、赔偿项目清单；涉及医疗费用的，应提供医疗费用票据等资料；</w:t>
      </w:r>
    </w:p>
    <w:p w14:paraId="2D943E6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（六）已经国家批准或认可的司法鉴定机构、医疗事故技术鉴定机构进行过鉴定的，应提供司法鉴定意见书、医疗事故技术鉴定书；</w:t>
      </w:r>
    </w:p>
    <w:p w14:paraId="7FC490E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七）被保险人与患方自行和解的，提供和解协议书；经调解委员会调解的，提供人民调解协议书；经法院判决或者法院调解的，提供法院判决书或者法院调解书；经仲裁裁决或者调解的，提供仲裁裁决书或者仲裁调解书；</w:t>
      </w:r>
    </w:p>
    <w:p w14:paraId="6985E7A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（八）投保人、被保险人所能提供的与确认保险事故的性质、原因、损失程度等有关的其他证明和资料。</w:t>
      </w:r>
    </w:p>
    <w:p w14:paraId="0BD7E8F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被保险人未履行前款约定的索赔材料提供义务，导致保险人无法核实损失情况的，保险人对无法核实部分不承担赔偿责任。</w:t>
      </w:r>
    </w:p>
    <w:p w14:paraId="7E1DB5DC">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赔偿处理</w:t>
      </w:r>
    </w:p>
    <w:p w14:paraId="33CE3BD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第二十四条  本保险合同采用期内索赔制。</w:t>
      </w:r>
    </w:p>
    <w:p w14:paraId="2F44B265">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期内索赔制是指保险责任的承担以索赔发生为基础：凡在保险单中列明的保险期间或追溯期内，被保险人在从事与其资格相符的诊疗活动中造成患者损害，患者或其近亲属或者其代理人在保险期间内首次向被保险人提出损害赔偿请求的时间在保险期间内的，对于被保险人因此依法承担的责任，保险人根据本保险合同的约定负责赔偿。即保险人承担保险责任的前提条件是必须同时满足：</w:t>
      </w:r>
    </w:p>
    <w:p w14:paraId="6A600ED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1. 患者接受诊疗活动导致人身损害的时间必须在保险期间或追溯期内；且</w:t>
      </w:r>
    </w:p>
    <w:p w14:paraId="42B84EF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2. 患者或者其近亲属或者其代理人因上述人身损害首次向被保险人提出损害赔偿请求的时间必须在保险期间内。本保险合同生效之日前患者或者其近亲属或者其代理人已经对同一事由提出过索赔请求（无论之前已提出的索赔请求是否采用书面形式或再次提出索赔请求的索赔金额或事故原因等情况是否与已提出的索赔请求一致）的，保险人不负责赔偿。</w:t>
      </w:r>
    </w:p>
    <w:p w14:paraId="77C9CFF3">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第二十五条  发生保险责任范围内的损失，保险人按以下方式计算赔偿：</w:t>
      </w:r>
    </w:p>
    <w:p w14:paraId="1C6A64E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（一）发生本保险条款第三条的保险事故，保险人在每次事故赔偿限额内计算赔偿；</w:t>
      </w:r>
    </w:p>
    <w:p w14:paraId="0BA43A6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（二）在保险期间内，保险人对多次事故损失的累计赔偿金额不超过累计赔偿限额。</w:t>
      </w:r>
    </w:p>
    <w:p w14:paraId="3BD4734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发生保险条款第四条的赔偿情形，对于应由被保险人支付的仲裁或诉讼费用以及经保险人同意支付的其他法律费用，保险人在每次事故赔偿限额以外另行计算，但赔偿限额不超过保险合同约定的法律费用每次事故赔偿限额及法律费用累计赔偿限额。</w:t>
      </w:r>
    </w:p>
    <w:p w14:paraId="38EA2B8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（四）在任何情况下，保险人实际赔偿金额都不应超过本保险合同中所约定的各项赔偿限额。</w:t>
      </w:r>
    </w:p>
    <w:p w14:paraId="46020C8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第二十六条  本保险条款第三条所指经济赔偿责任参照《</w:t>
      </w:r>
      <w:r>
        <w:rPr>
          <w:rFonts w:hint="eastAsia" w:asciiTheme="minorEastAsia" w:hAnsiTheme="minorEastAsia" w:eastAsiaTheme="minorEastAsia" w:cstheme="minorEastAsia"/>
          <w:b w:val="0"/>
          <w:bCs w:val="0"/>
          <w:color w:val="000000"/>
          <w:sz w:val="18"/>
          <w:szCs w:val="18"/>
          <w:lang w:eastAsia="zh-CN"/>
        </w:rPr>
        <w:t>中华人民共和国</w:t>
      </w:r>
      <w:r>
        <w:rPr>
          <w:rFonts w:hint="eastAsia" w:asciiTheme="minorEastAsia" w:hAnsiTheme="minorEastAsia" w:eastAsiaTheme="minorEastAsia" w:cstheme="minorEastAsia"/>
          <w:b w:val="0"/>
          <w:bCs w:val="0"/>
          <w:color w:val="000000"/>
          <w:sz w:val="18"/>
          <w:szCs w:val="18"/>
        </w:rPr>
        <w:t>民法典》、《最高人民法院关于审理人身损害赔偿案件适用法律若干问题的解释</w:t>
      </w:r>
      <w:r>
        <w:rPr>
          <w:rFonts w:hint="eastAsia" w:asciiTheme="minorEastAsia" w:hAnsiTheme="minorEastAsia" w:cstheme="minorEastAsia"/>
          <w:b w:val="0"/>
          <w:bCs w:val="0"/>
          <w:color w:val="000000"/>
          <w:sz w:val="18"/>
          <w:szCs w:val="18"/>
          <w:lang w:eastAsia="zh-CN"/>
        </w:rPr>
        <w:t>》的</w:t>
      </w:r>
      <w:r>
        <w:rPr>
          <w:rFonts w:hint="eastAsia" w:asciiTheme="minorEastAsia" w:hAnsiTheme="minorEastAsia" w:eastAsiaTheme="minorEastAsia" w:cstheme="minorEastAsia"/>
          <w:b w:val="0"/>
          <w:bCs w:val="0"/>
          <w:color w:val="000000"/>
          <w:sz w:val="18"/>
          <w:szCs w:val="18"/>
        </w:rPr>
        <w:t>规定计算，具体赔偿项目包括：</w:t>
      </w:r>
    </w:p>
    <w:p w14:paraId="613E1B9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（一）患者因就医治疗支出的各项费用以及因误工减少的收入，包括医疗费、误工费、护理费、交通费、住宿费、住院伙食补助费、必要的营养费；</w:t>
      </w:r>
    </w:p>
    <w:p w14:paraId="21CB5D9B">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（二）患者因伤致残的，其因增加</w:t>
      </w:r>
      <w:r>
        <w:rPr>
          <w:rFonts w:hint="eastAsia" w:asciiTheme="minorEastAsia" w:hAnsiTheme="minorEastAsia" w:cstheme="minorEastAsia"/>
          <w:b w:val="0"/>
          <w:bCs w:val="0"/>
          <w:color w:val="000000"/>
          <w:sz w:val="18"/>
          <w:szCs w:val="18"/>
          <w:lang w:eastAsia="zh-CN"/>
        </w:rPr>
        <w:t>生活</w:t>
      </w:r>
      <w:r>
        <w:rPr>
          <w:rFonts w:hint="eastAsia" w:asciiTheme="minorEastAsia" w:hAnsiTheme="minorEastAsia" w:eastAsiaTheme="minorEastAsia" w:cstheme="minorEastAsia"/>
          <w:b w:val="0"/>
          <w:bCs w:val="0"/>
          <w:color w:val="000000"/>
          <w:sz w:val="18"/>
          <w:szCs w:val="18"/>
        </w:rPr>
        <w:t>需要所支出的必要费用以及因丧失劳动能力导致的收入损失，包括残疾赔偿金、残疾辅助器具费、被扶养人生活费，以及因康复护理、继续治疗实际发生的必要的康复费、护理费、后续治疗费；</w:t>
      </w:r>
      <w:r>
        <w:rPr>
          <w:rFonts w:hint="eastAsia" w:asciiTheme="minorEastAsia" w:hAnsiTheme="minorEastAsia" w:eastAsiaTheme="minorEastAsia" w:cstheme="minorEastAsia"/>
          <w:b w:val="0"/>
          <w:bCs w:val="0"/>
          <w:color w:val="000000"/>
          <w:sz w:val="18"/>
          <w:szCs w:val="18"/>
          <w:shd w:val="clear" w:color="050000" w:fill="auto"/>
        </w:rPr>
        <w:t>残疾等级按照</w:t>
      </w:r>
      <w:r>
        <w:rPr>
          <w:rFonts w:hint="eastAsia" w:asciiTheme="minorEastAsia" w:hAnsiTheme="minorEastAsia" w:eastAsiaTheme="minorEastAsia" w:cstheme="minorEastAsia"/>
          <w:b w:val="0"/>
          <w:bCs w:val="0"/>
          <w:color w:val="000000"/>
          <w:sz w:val="18"/>
          <w:szCs w:val="18"/>
        </w:rPr>
        <w:t>《人体损伤致残程度分级》</w:t>
      </w:r>
      <w:r>
        <w:rPr>
          <w:rFonts w:hint="eastAsia" w:asciiTheme="minorEastAsia" w:hAnsiTheme="minorEastAsia" w:eastAsiaTheme="minorEastAsia" w:cstheme="minorEastAsia"/>
          <w:b w:val="0"/>
          <w:bCs w:val="0"/>
          <w:color w:val="000000"/>
          <w:kern w:val="0"/>
          <w:sz w:val="18"/>
          <w:szCs w:val="18"/>
        </w:rPr>
        <w:t>（最高人民法院、最高人民检察院、公安部、国家安全部、司法部2016年4月18日发布，司法部实施通知文号为司发通〔2016〕48号）</w:t>
      </w:r>
      <w:r>
        <w:rPr>
          <w:rFonts w:hint="eastAsia" w:asciiTheme="minorEastAsia" w:hAnsiTheme="minorEastAsia" w:eastAsiaTheme="minorEastAsia" w:cstheme="minorEastAsia"/>
          <w:b w:val="0"/>
          <w:bCs w:val="0"/>
          <w:color w:val="000000"/>
          <w:sz w:val="18"/>
          <w:szCs w:val="18"/>
        </w:rPr>
        <w:t>确定，如有国家有关部门发布的新标准替代或修改前述《人体损伤致残程度分级》的，按新标准执行；</w:t>
      </w:r>
    </w:p>
    <w:p w14:paraId="3E4C15EA">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三）患者死亡的，除应当根据抢救治疗情况赔偿本条第（一）项规定的相关费用外，还应当赔偿丧葬费、被扶养人生活费、死亡赔偿金以及患者亲属办理丧葬事宜支出的交通费、住宿费和误工损失等其他合理费用；</w:t>
      </w:r>
    </w:p>
    <w:p w14:paraId="1F7A5BA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（四）患者或其近亲属遭受精神损害，经仲裁机构或法院判决、或经调解委员会酌情评鉴所需支付的精神损害抚慰金。</w:t>
      </w:r>
    </w:p>
    <w:p w14:paraId="0EA9D3FB">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第二十七条  被保险人给患者造成损害，被保险人对患者应负的赔偿责任经和解、调解、诉讼或仲裁等程序已经确定的，根据被保险人的请求，保险人应当直接向患者赔偿保险金。被保险人怠于请求的，患者有权就其应获赔偿部分直接向保险人请求赔偿保险金。</w:t>
      </w:r>
    </w:p>
    <w:p w14:paraId="77F52001">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被保险人未向患者赔偿的，保险人不得向被保险人赔偿保险金。</w:t>
      </w:r>
    </w:p>
    <w:p w14:paraId="6B6F957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第二十八条  投保人、被保险人应当投保全部医务人员，发生保险事故时，投保医务人员数不足实际医务人员数的，则保险人按照投保医务人员数与实际医务人员数的比例赔偿。</w:t>
      </w:r>
    </w:p>
    <w:p w14:paraId="1CBF635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第二十九条  发生保险事故时，如果被保险人就其损失在有相同保障的其他保险项下也能够获得赔偿，则本保险人按照本保险合同的相应赔偿限额与其他保险合同及本保险合同的相应赔偿限额总和的比例承担赔偿责任。</w:t>
      </w:r>
    </w:p>
    <w:p w14:paraId="15659FEF">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第三十条  因药品、消毒产品、医疗器械的缺陷，或者输入不合格的血液造成患者损害，应由药品上市许可持有人、生产者或者销售者、血液提供机构等有关责任方负责赔偿的，保险人自向被保险人赔偿保险金之日起，在赔偿金额范围内代位行使被保险人对以上有关责任方请求赔偿的权利，被保险人应当向保险人提供必要的文件和所知道的有关情况。</w:t>
      </w:r>
    </w:p>
    <w:p w14:paraId="121C311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被保险人已经从有关责任方取得赔偿的，保险人赔偿保险金时，可以相应扣减被保险人已从有关责任方取得的赔偿金额。</w:t>
      </w:r>
    </w:p>
    <w:p w14:paraId="4CB1AFD7">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3D77069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第三十一条  在调解委员会主持下医患双方达成人民调解协议，或医患双方达成自行和解协议，保险人</w:t>
      </w:r>
      <w:r>
        <w:rPr>
          <w:rFonts w:hint="eastAsia" w:asciiTheme="minorEastAsia" w:hAnsiTheme="minorEastAsia" w:cstheme="minorEastAsia"/>
          <w:b w:val="0"/>
          <w:bCs w:val="0"/>
          <w:color w:val="000000"/>
          <w:sz w:val="18"/>
          <w:szCs w:val="18"/>
          <w:lang w:eastAsia="zh-CN"/>
        </w:rPr>
        <w:t>依据</w:t>
      </w:r>
      <w:r>
        <w:rPr>
          <w:rFonts w:hint="eastAsia" w:asciiTheme="minorEastAsia" w:hAnsiTheme="minorEastAsia" w:eastAsiaTheme="minorEastAsia" w:cstheme="minorEastAsia"/>
          <w:b w:val="0"/>
          <w:bCs w:val="0"/>
          <w:color w:val="000000"/>
          <w:sz w:val="18"/>
          <w:szCs w:val="18"/>
        </w:rPr>
        <w:t>人民调解协议或自行和解协议及其他相关文件做出理赔决定并支付赔款后，不再接受医、患双方纠纷当事人就该案已处理医疗损害事实的其他赔付责任，除非经司法诉讼或仲裁程序确定，但保险人就该案的保险赔付总额仍以本保险合同约定的最高赔偿限额为限。</w:t>
      </w:r>
    </w:p>
    <w:p w14:paraId="6510674A">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争议处理和法律适用</w:t>
      </w:r>
    </w:p>
    <w:p w14:paraId="7563EBE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第三十二条  因履行本保险合同发生的争议，由当事人调解、协商解决。协商不成的，提交本保险合同约定的仲裁机构仲裁；本保险合同中未载明仲裁机构且争议发生后未达成仲裁协议的，当事人可依法向中华人民共和国境内（港澳台地区除外）人民法院起诉。</w:t>
      </w:r>
    </w:p>
    <w:p w14:paraId="45B96A7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第三十三条  本保险合同的争议处理适用中华人民共和国法律（不包括香港、澳门、及台湾地区法律）。</w:t>
      </w:r>
    </w:p>
    <w:p w14:paraId="4A12E3BE">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其他事项</w:t>
      </w:r>
    </w:p>
    <w:p w14:paraId="419AD039">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第三十四条  除法律另有规定或者本保险合同另有约定外，保险合同成立后，保险人不得解除合同。</w:t>
      </w:r>
    </w:p>
    <w:p w14:paraId="2819EAE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第三十五条  本保险合同成立后，投保人可随时书面通知保险人解除本保险合同。保险责任开始前，投保人要求解除本保险合同的，应当向保险人支付相当于保险费的2%的费用作为退保手续费，保险人应当退还剩余保险费；当符合本保险合同第十六、十八条约定的情形时，保险人要求解除保险合同的，不得向投保人收取手续费并应退还已收取的保险费。</w:t>
      </w:r>
    </w:p>
    <w:p w14:paraId="2AC0193C">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保险责任开始后，投保人要求解除合同的，自通知保险人之日起，本保险合同解除，保险人将已收取的保险费，扣除按照自保险责任开始之日起至合同解除之日止期间与保险期间的日比例计收的保险费后，退还剩余部分的保险费；当符合本保险合同第十六、十八条约定的情形时，保险人也可提前15日向投保人发出解约通知书解除本保险合同，并按保险责任开始之日起至保险合同解除之日止期间与保险期间的日比例计收保险费后，退还剩余部分的保险费。</w:t>
      </w:r>
    </w:p>
    <w:p w14:paraId="37DC3519">
      <w:pPr>
        <w:adjustRightInd w:val="0"/>
        <w:snapToGrid w:val="0"/>
        <w:spacing w:after="156" w:afterLines="50" w:line="360" w:lineRule="auto"/>
        <w:jc w:val="center"/>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释义</w:t>
      </w:r>
    </w:p>
    <w:p w14:paraId="69DF39C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除非另有约定，本保险合同中有关名词的定义如下：</w:t>
      </w:r>
    </w:p>
    <w:p w14:paraId="4EA6EA1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1.</w:t>
      </w:r>
      <w:r>
        <w:rPr>
          <w:rFonts w:hint="eastAsia" w:asciiTheme="minorEastAsia" w:hAnsiTheme="minorEastAsia" w:eastAsiaTheme="minorEastAsia" w:cstheme="minorEastAsia"/>
          <w:b w:val="0"/>
          <w:bCs w:val="0"/>
          <w:color w:val="000000"/>
          <w:sz w:val="18"/>
          <w:szCs w:val="18"/>
        </w:rPr>
        <w:t>医务人员：是指在被保险医疗机构执业的经过国家有关部门考核、批准或承认，取得相应资格的各级各类卫生技术人员。在本保险合同中，卫生技术人员也包括医疗管理人员、外聘医务人员、进修生、外请会诊医务人员、符合多点执业条件的医务人员；在被保险医疗机构进行城乡医院对口支援、支援基层，与被保险医疗机构签订医疗机构帮扶或托管协议、来自同一医疗集团或同一医疗联合体在被保险医疗机构多点执业的医务人员；在被保险医疗机构参加慈善或公益性巡回医疗、义诊、突发事件或灾害事故医疗救援工作，参与实施基本和重大公共卫生服务项目的医务人员。</w:t>
      </w:r>
    </w:p>
    <w:p w14:paraId="5792C44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2.</w:t>
      </w:r>
      <w:r>
        <w:rPr>
          <w:rFonts w:hint="eastAsia" w:asciiTheme="minorEastAsia" w:hAnsiTheme="minorEastAsia" w:eastAsiaTheme="minorEastAsia" w:cstheme="minorEastAsia"/>
          <w:b w:val="0"/>
          <w:bCs w:val="0"/>
          <w:color w:val="000000"/>
          <w:sz w:val="18"/>
          <w:szCs w:val="18"/>
        </w:rPr>
        <w:t>医疗事故：指医疗机构及其医务人员在医疗活动中，违反医疗卫生管理法律、行政法规、部门规章和诊疗护理规范、常规，过失造成患者人身损害的事故。</w:t>
      </w:r>
    </w:p>
    <w:p w14:paraId="2CA11565">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3.</w:t>
      </w:r>
      <w:r>
        <w:rPr>
          <w:rFonts w:hint="eastAsia" w:asciiTheme="minorEastAsia" w:hAnsiTheme="minorEastAsia" w:eastAsiaTheme="minorEastAsia" w:cstheme="minorEastAsia"/>
          <w:b w:val="0"/>
          <w:bCs w:val="0"/>
          <w:color w:val="000000"/>
          <w:sz w:val="18"/>
          <w:szCs w:val="18"/>
        </w:rPr>
        <w:t>医疗损害：医疗机构及其医务人员在诊疗活动中因执业过失造成的患者人身损害。</w:t>
      </w:r>
    </w:p>
    <w:p w14:paraId="4AEB203B">
      <w:pPr>
        <w:widowControl/>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4.</w:t>
      </w:r>
      <w:r>
        <w:rPr>
          <w:rFonts w:hint="eastAsia" w:asciiTheme="minorEastAsia" w:hAnsiTheme="minorEastAsia" w:eastAsiaTheme="minorEastAsia" w:cstheme="minorEastAsia"/>
          <w:b w:val="0"/>
          <w:bCs w:val="0"/>
          <w:color w:val="000000"/>
          <w:sz w:val="18"/>
          <w:szCs w:val="18"/>
        </w:rPr>
        <w:t>诊疗活动：指通过各种检查，使用药物、器械及手术等方法，对疾病做出判断和消除疾病、缓解病情、减轻痛苦、改善功能、延长生命、帮助患者恢复健康的活动。包括为实现前述目的</w:t>
      </w:r>
      <w:r>
        <w:rPr>
          <w:rFonts w:hint="eastAsia" w:asciiTheme="minorEastAsia" w:hAnsiTheme="minorEastAsia" w:eastAsiaTheme="minorEastAsia" w:cstheme="minorEastAsia"/>
          <w:b w:val="0"/>
          <w:bCs w:val="0"/>
          <w:color w:val="000000"/>
          <w:sz w:val="18"/>
          <w:szCs w:val="18"/>
          <w:lang w:eastAsia="zh-CN"/>
        </w:rPr>
        <w:t>所必需的</w:t>
      </w:r>
      <w:r>
        <w:rPr>
          <w:rFonts w:hint="eastAsia" w:asciiTheme="minorEastAsia" w:hAnsiTheme="minorEastAsia" w:eastAsiaTheme="minorEastAsia" w:cstheme="minorEastAsia"/>
          <w:b w:val="0"/>
          <w:bCs w:val="0"/>
          <w:color w:val="000000"/>
          <w:sz w:val="18"/>
          <w:szCs w:val="18"/>
        </w:rPr>
        <w:t>医疗美容，不包括单纯以改善容貌为目的的医疗美容。</w:t>
      </w:r>
    </w:p>
    <w:p w14:paraId="1D04A143">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本保险合同中“诊疗活动”包含“护理工作”，护理工作主要是指医疗机构的医务人员的下述行为：密切观察患者的生命体征和病情变化；正确实施治疗、给药及护理措施，并观察、了解患者的反应；根据患者病情和生活自理能力提供照顾和帮助；提供护理相关的健康指导。</w:t>
      </w:r>
    </w:p>
    <w:p w14:paraId="44D144CC">
      <w:pPr>
        <w:widowControl/>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eastAsiaTheme="minorEastAsia" w:cstheme="minorEastAsia"/>
          <w:b w:val="0"/>
          <w:bCs w:val="0"/>
          <w:color w:val="000000"/>
          <w:sz w:val="18"/>
          <w:szCs w:val="18"/>
        </w:rPr>
        <w:t>本保险合同中诊疗活动同时包括健康体检诊疗活动以及被保险人提供健康教育、预防接种、儿童健康管理、孕产妇健康管理、老年人健康管理、慢性病（高血压、糖尿病）患者健康管理、严重精神障碍患者管理、结核患者健康管理、中医药健康管理等基本公共卫生服务活动，其中健康体检是指通过医学手段和方法对受检者进行身体检查，了解受检者健康状况、早期发现疾病线索和健康隐患的诊疗行为。</w:t>
      </w:r>
    </w:p>
    <w:p w14:paraId="413B5CC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5.</w:t>
      </w:r>
      <w:r>
        <w:rPr>
          <w:rFonts w:hint="eastAsia" w:asciiTheme="minorEastAsia" w:hAnsiTheme="minorEastAsia" w:eastAsiaTheme="minorEastAsia" w:cstheme="minorEastAsia"/>
          <w:b w:val="0"/>
          <w:bCs w:val="0"/>
          <w:color w:val="000000"/>
          <w:sz w:val="18"/>
          <w:szCs w:val="18"/>
        </w:rPr>
        <w:t>保险事故：指保险合同约定的保险责任范围内的事故。</w:t>
      </w:r>
    </w:p>
    <w:p w14:paraId="72E2D2B6">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6.</w:t>
      </w:r>
      <w:r>
        <w:rPr>
          <w:rFonts w:hint="eastAsia" w:asciiTheme="minorEastAsia" w:hAnsiTheme="minorEastAsia" w:eastAsiaTheme="minorEastAsia" w:cstheme="minorEastAsia"/>
          <w:b w:val="0"/>
          <w:bCs w:val="0"/>
          <w:color w:val="000000"/>
          <w:sz w:val="18"/>
          <w:szCs w:val="18"/>
        </w:rPr>
        <w:t>追溯期：指保险合同当事人在保险合同中约定的从保险期间起始日向前追溯的一段时间</w:t>
      </w:r>
      <w:r>
        <w:rPr>
          <w:rFonts w:hint="eastAsia" w:asciiTheme="minorEastAsia" w:hAnsiTheme="minorEastAsia" w:eastAsiaTheme="minorEastAsia" w:cstheme="minorEastAsia"/>
          <w:b w:val="0"/>
          <w:bCs w:val="0"/>
          <w:color w:val="000000"/>
          <w:sz w:val="18"/>
          <w:szCs w:val="18"/>
          <w:lang w:eastAsia="zh-CN"/>
        </w:rPr>
        <w:t>，</w:t>
      </w:r>
      <w:r>
        <w:rPr>
          <w:rFonts w:hint="eastAsia" w:asciiTheme="minorEastAsia" w:hAnsiTheme="minorEastAsia" w:eastAsiaTheme="minorEastAsia" w:cstheme="minorEastAsia"/>
          <w:b w:val="0"/>
          <w:bCs w:val="0"/>
          <w:color w:val="000000"/>
          <w:sz w:val="18"/>
          <w:szCs w:val="18"/>
        </w:rPr>
        <w:t>保险人对该段时间内发生且患者或者其近亲属或者其代理人在保险期间内首次向被保险人提出赔偿请求的保险事故按照本保险合同约定承担赔偿责任。</w:t>
      </w:r>
    </w:p>
    <w:p w14:paraId="64D612C2">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7.</w:t>
      </w:r>
      <w:r>
        <w:rPr>
          <w:rFonts w:hint="eastAsia" w:asciiTheme="minorEastAsia" w:hAnsiTheme="minorEastAsia" w:eastAsiaTheme="minorEastAsia" w:cstheme="minorEastAsia"/>
          <w:b w:val="0"/>
          <w:bCs w:val="0"/>
          <w:color w:val="000000"/>
          <w:sz w:val="18"/>
          <w:szCs w:val="18"/>
        </w:rPr>
        <w:t>重要事项：直接关系保险双方当事人利益或足以影响保险人确定保险费率的各种因素。如被保险人的名称、所有制和经营性质、执业范围变更、医疗机构类型等。</w:t>
      </w:r>
    </w:p>
    <w:p w14:paraId="1B4DA500">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8.</w:t>
      </w:r>
      <w:r>
        <w:rPr>
          <w:rFonts w:hint="eastAsia" w:asciiTheme="minorEastAsia" w:hAnsiTheme="minorEastAsia" w:eastAsiaTheme="minorEastAsia" w:cstheme="minorEastAsia"/>
          <w:b w:val="0"/>
          <w:bCs w:val="0"/>
          <w:color w:val="000000"/>
          <w:sz w:val="18"/>
          <w:szCs w:val="18"/>
        </w:rPr>
        <w:t>从事：投身到某项事业中去，是指一种固定的职业行为。</w:t>
      </w:r>
    </w:p>
    <w:p w14:paraId="0D306C34">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9.</w:t>
      </w:r>
      <w:r>
        <w:rPr>
          <w:rFonts w:hint="eastAsia" w:asciiTheme="minorEastAsia" w:hAnsiTheme="minorEastAsia" w:eastAsiaTheme="minorEastAsia" w:cstheme="minorEastAsia"/>
          <w:b w:val="0"/>
          <w:bCs w:val="0"/>
          <w:color w:val="000000"/>
          <w:sz w:val="18"/>
          <w:szCs w:val="18"/>
        </w:rPr>
        <w:t>每次事故赔偿限额：即保险人所承担的每次保险责任事故或同一原因引起的一系列保险责任事故的赔偿限额。</w:t>
      </w:r>
    </w:p>
    <w:p w14:paraId="741E7828">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10.</w:t>
      </w:r>
      <w:r>
        <w:rPr>
          <w:rFonts w:hint="eastAsia" w:asciiTheme="minorEastAsia" w:hAnsiTheme="minorEastAsia" w:eastAsiaTheme="minorEastAsia" w:cstheme="minorEastAsia"/>
          <w:b w:val="0"/>
          <w:bCs w:val="0"/>
          <w:color w:val="000000"/>
          <w:sz w:val="18"/>
          <w:szCs w:val="18"/>
        </w:rPr>
        <w:t>累计赔偿限额：即在本保险合同约定的保险期间内保险人所承担的被保险人关于保险责任的最高赔偿限额。</w:t>
      </w:r>
    </w:p>
    <w:p w14:paraId="7858213D">
      <w:pPr>
        <w:adjustRightInd w:val="0"/>
        <w:snapToGrid w:val="0"/>
        <w:spacing w:after="156" w:afterLines="50" w:line="360" w:lineRule="auto"/>
        <w:ind w:firstLine="360" w:firstLineChars="200"/>
        <w:rPr>
          <w:rFonts w:hint="eastAsia" w:asciiTheme="minorEastAsia" w:hAnsiTheme="minorEastAsia" w:eastAsiaTheme="minorEastAsia" w:cstheme="minorEastAsia"/>
          <w:b w:val="0"/>
          <w:bCs w:val="0"/>
          <w:color w:val="000000"/>
          <w:sz w:val="18"/>
          <w:szCs w:val="18"/>
        </w:rPr>
      </w:pPr>
      <w:r>
        <w:rPr>
          <w:rFonts w:hint="eastAsia" w:asciiTheme="minorEastAsia" w:hAnsiTheme="minorEastAsia" w:cstheme="minorEastAsia"/>
          <w:b w:val="0"/>
          <w:bCs w:val="0"/>
          <w:color w:val="000000"/>
          <w:sz w:val="18"/>
          <w:szCs w:val="18"/>
          <w:lang w:eastAsia="zh-CN"/>
        </w:rPr>
        <w:t>11.</w:t>
      </w:r>
      <w:r>
        <w:rPr>
          <w:rFonts w:hint="eastAsia" w:asciiTheme="minorEastAsia" w:hAnsiTheme="minorEastAsia" w:eastAsiaTheme="minorEastAsia" w:cstheme="minorEastAsia"/>
          <w:b w:val="0"/>
          <w:bCs w:val="0"/>
          <w:color w:val="000000"/>
          <w:sz w:val="18"/>
          <w:szCs w:val="18"/>
        </w:rPr>
        <w:t>与当时的医疗水平相应的诊疗义务：即当时当地同一等级医疗机构的医疗水平相应的诊疗义务。常规情况下是否尽到与当时医疗水平相应的诊疗义务按照是否执行诊疗护理规范进行判断。非常规情况须采取必要诊疗措施的，须由两名以上医疗专家根据实际情况作出专业判断，一致认定</w:t>
      </w:r>
      <w:r>
        <w:rPr>
          <w:rFonts w:hint="eastAsia" w:asciiTheme="minorEastAsia" w:hAnsiTheme="minorEastAsia" w:cstheme="minorEastAsia"/>
          <w:b w:val="0"/>
          <w:bCs w:val="0"/>
          <w:color w:val="000000"/>
          <w:sz w:val="18"/>
          <w:szCs w:val="18"/>
          <w:lang w:eastAsia="zh-CN"/>
        </w:rPr>
        <w:t>此项</w:t>
      </w:r>
      <w:r>
        <w:rPr>
          <w:rFonts w:hint="eastAsia" w:asciiTheme="minorEastAsia" w:hAnsiTheme="minorEastAsia" w:eastAsiaTheme="minorEastAsia" w:cstheme="minorEastAsia"/>
          <w:b w:val="0"/>
          <w:bCs w:val="0"/>
          <w:color w:val="000000"/>
          <w:sz w:val="18"/>
          <w:szCs w:val="18"/>
        </w:rPr>
        <w:t>措施确属必须，否则按常规情况予以判断。如法律法规有释义的依照法律法规的规定。</w:t>
      </w:r>
    </w:p>
    <w:p w14:paraId="5FB6A479">
      <w:pPr>
        <w:pStyle w:val="30"/>
        <w:rPr>
          <w:rFonts w:ascii="Times New Roman" w:hAnsi="Times New Roman"/>
          <w:sz w:val="21"/>
          <w:szCs w:val="21"/>
        </w:rPr>
      </w:pPr>
    </w:p>
    <w:p w14:paraId="1F946E78">
      <w:pPr>
        <w:pStyle w:val="7"/>
        <w:rPr>
          <w:rFonts w:ascii="Times New Roman" w:hAnsi="Times New Roman"/>
          <w:sz w:val="21"/>
          <w:szCs w:val="21"/>
        </w:rPr>
      </w:pPr>
    </w:p>
    <w:p w14:paraId="499159F7">
      <w:pPr>
        <w:pStyle w:val="7"/>
        <w:rPr>
          <w:rFonts w:ascii="Times New Roman" w:hAnsi="Times New Roman"/>
          <w:sz w:val="21"/>
          <w:szCs w:val="21"/>
        </w:rPr>
      </w:pPr>
    </w:p>
    <w:p w14:paraId="010421B3">
      <w:pPr>
        <w:pStyle w:val="7"/>
        <w:rPr>
          <w:rFonts w:ascii="Times New Roman" w:hAnsi="Times New Roman"/>
          <w:sz w:val="21"/>
          <w:szCs w:val="21"/>
        </w:rPr>
      </w:pPr>
    </w:p>
    <w:p w14:paraId="3AF60718">
      <w:pPr>
        <w:pStyle w:val="7"/>
        <w:rPr>
          <w:rFonts w:ascii="Times New Roman" w:hAnsi="Times New Roman"/>
          <w:sz w:val="21"/>
          <w:szCs w:val="21"/>
        </w:rPr>
      </w:pPr>
    </w:p>
    <w:p w14:paraId="5B3E840D">
      <w:pPr>
        <w:pStyle w:val="7"/>
        <w:rPr>
          <w:rFonts w:ascii="Times New Roman" w:hAnsi="Times New Roman"/>
          <w:sz w:val="21"/>
          <w:szCs w:val="21"/>
        </w:rPr>
      </w:pPr>
    </w:p>
    <w:p w14:paraId="59A2EF1D">
      <w:pPr>
        <w:pStyle w:val="7"/>
        <w:rPr>
          <w:rFonts w:ascii="Times New Roman" w:hAnsi="Times New Roman"/>
          <w:sz w:val="21"/>
          <w:szCs w:val="21"/>
        </w:rPr>
      </w:pPr>
    </w:p>
    <w:p w14:paraId="317F5AF4">
      <w:pPr>
        <w:pStyle w:val="7"/>
        <w:rPr>
          <w:rFonts w:ascii="Times New Roman" w:hAnsi="Times New Roman"/>
          <w:sz w:val="21"/>
          <w:szCs w:val="21"/>
        </w:rPr>
      </w:pPr>
    </w:p>
    <w:p w14:paraId="1FFBC5F1">
      <w:pPr>
        <w:pStyle w:val="7"/>
        <w:rPr>
          <w:rFonts w:ascii="Times New Roman" w:hAnsi="Times New Roman"/>
          <w:sz w:val="21"/>
          <w:szCs w:val="21"/>
        </w:rPr>
      </w:pPr>
    </w:p>
    <w:p w14:paraId="74E8BF57">
      <w:pPr>
        <w:pStyle w:val="7"/>
        <w:rPr>
          <w:rFonts w:ascii="Times New Roman" w:hAnsi="Times New Roman"/>
          <w:sz w:val="21"/>
          <w:szCs w:val="21"/>
        </w:rPr>
      </w:pPr>
    </w:p>
    <w:p w14:paraId="25BFEDA6">
      <w:pPr>
        <w:pStyle w:val="7"/>
        <w:rPr>
          <w:rFonts w:ascii="Times New Roman" w:hAnsi="Times New Roman"/>
          <w:sz w:val="21"/>
          <w:szCs w:val="21"/>
        </w:rPr>
      </w:pPr>
    </w:p>
    <w:p w14:paraId="539DCDCE">
      <w:pPr>
        <w:pStyle w:val="7"/>
        <w:ind w:left="0" w:leftChars="0" w:firstLine="0" w:firstLineChars="0"/>
        <w:rPr>
          <w:rFonts w:ascii="Times New Roman" w:hAnsi="Times New Roman"/>
          <w:sz w:val="21"/>
          <w:szCs w:val="21"/>
        </w:rPr>
      </w:pPr>
    </w:p>
    <w:p w14:paraId="414B383A">
      <w:pPr>
        <w:pStyle w:val="2"/>
        <w:jc w:val="center"/>
        <w:rPr>
          <w:rFonts w:hint="eastAsia" w:ascii="微软雅黑" w:hAnsi="微软雅黑" w:eastAsia="微软雅黑"/>
          <w:sz w:val="28"/>
          <w:szCs w:val="28"/>
        </w:rPr>
      </w:pPr>
      <w:r>
        <w:rPr>
          <w:rFonts w:hint="eastAsia" w:ascii="微软雅黑" w:hAnsi="微软雅黑" w:eastAsia="微软雅黑"/>
          <w:kern w:val="44"/>
          <w:sz w:val="28"/>
          <w:szCs w:val="28"/>
        </w:rPr>
        <w:t>附件</w:t>
      </w:r>
      <w:r>
        <w:rPr>
          <w:rFonts w:hint="eastAsia" w:ascii="微软雅黑" w:hAnsi="微软雅黑" w:eastAsia="微软雅黑" w:cs="微软雅黑"/>
          <w:kern w:val="44"/>
          <w:sz w:val="28"/>
          <w:szCs w:val="28"/>
        </w:rPr>
        <w:t>Ⅱ</w:t>
      </w:r>
      <w:r>
        <w:rPr>
          <w:rFonts w:hint="eastAsia" w:ascii="微软雅黑" w:hAnsi="微软雅黑" w:eastAsia="微软雅黑"/>
          <w:sz w:val="28"/>
          <w:szCs w:val="28"/>
          <w:lang w:eastAsia="zh-CN"/>
        </w:rPr>
        <w:t>、</w:t>
      </w:r>
      <w:r>
        <w:rPr>
          <w:rFonts w:hint="eastAsia" w:ascii="微软雅黑" w:hAnsi="微软雅黑" w:eastAsia="微软雅黑"/>
          <w:sz w:val="28"/>
          <w:szCs w:val="28"/>
        </w:rPr>
        <w:t>广东省医疗责任保险赔偿处理办法（暂行）</w:t>
      </w:r>
    </w:p>
    <w:p w14:paraId="2A957DBF">
      <w:pPr>
        <w:shd w:val="clear" w:color="auto" w:fill="FFFFFF"/>
        <w:spacing w:before="100" w:beforeAutospacing="1" w:after="100" w:afterAutospacing="1" w:line="360" w:lineRule="auto"/>
        <w:ind w:left="750" w:hanging="750"/>
        <w:jc w:val="center"/>
        <w:rPr>
          <w:rFonts w:hint="eastAsia" w:ascii="宋体" w:hAnsi="宋体" w:cs="宋体"/>
          <w:color w:val="000000"/>
          <w:sz w:val="21"/>
          <w:szCs w:val="21"/>
        </w:rPr>
      </w:pPr>
      <w:r>
        <w:rPr>
          <w:rFonts w:hint="eastAsia" w:ascii="宋体" w:hAnsi="宋体" w:cs="宋体"/>
          <w:b/>
          <w:bCs/>
          <w:color w:val="000000"/>
          <w:sz w:val="21"/>
          <w:szCs w:val="21"/>
        </w:rPr>
        <w:t>第一章  总则</w:t>
      </w:r>
    </w:p>
    <w:p w14:paraId="739DA9F3">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color w:val="000000"/>
          <w:sz w:val="21"/>
          <w:szCs w:val="21"/>
        </w:rPr>
      </w:pPr>
      <w:r>
        <w:rPr>
          <w:rFonts w:hint="eastAsia" w:ascii="宋体" w:hAnsi="宋体" w:cs="宋体"/>
          <w:color w:val="000000"/>
          <w:sz w:val="21"/>
          <w:szCs w:val="21"/>
        </w:rPr>
        <w:t>为及时、准确处理医疗责任保险赔偿，保护医疗机构和患者的合法利益，促进广东省医疗责任保险持续发展，确保调赔结合机制长效稳定运行，特制订本办法。</w:t>
      </w:r>
    </w:p>
    <w:p w14:paraId="6599B77B">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color w:val="000000"/>
          <w:sz w:val="21"/>
          <w:szCs w:val="21"/>
        </w:rPr>
      </w:pPr>
      <w:r>
        <w:rPr>
          <w:rFonts w:hint="eastAsia" w:ascii="宋体" w:hAnsi="宋体" w:cs="宋体"/>
          <w:color w:val="000000"/>
          <w:sz w:val="21"/>
          <w:szCs w:val="21"/>
        </w:rPr>
        <w:t>广东省医疗责任保险全省</w:t>
      </w:r>
      <w:r>
        <w:rPr>
          <w:rFonts w:hint="eastAsia" w:ascii="宋体" w:hAnsi="宋体" w:cs="宋体"/>
          <w:color w:val="000000"/>
          <w:sz w:val="21"/>
          <w:szCs w:val="21"/>
          <w:lang w:eastAsia="zh-CN"/>
        </w:rPr>
        <w:t>示范</w:t>
      </w:r>
      <w:r>
        <w:rPr>
          <w:rFonts w:hint="eastAsia" w:ascii="宋体" w:hAnsi="宋体" w:cs="宋体"/>
          <w:color w:val="000000"/>
          <w:sz w:val="21"/>
          <w:szCs w:val="21"/>
        </w:rPr>
        <w:t>项目涉及的所有赔偿处理事项，按照本办法规定执行。</w:t>
      </w:r>
    </w:p>
    <w:p w14:paraId="7F440AF3">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sz w:val="21"/>
          <w:szCs w:val="21"/>
        </w:rPr>
      </w:pPr>
      <w:r>
        <w:rPr>
          <w:rFonts w:hint="eastAsia" w:ascii="宋体" w:hAnsi="宋体" w:cs="宋体"/>
          <w:color w:val="000000"/>
          <w:sz w:val="21"/>
          <w:szCs w:val="21"/>
        </w:rPr>
        <w:t>医疗纠纷人民调解委员会（以下简称“医调委”）是经司法行政部门同意设立的行业性、专业性医患纠纷第三方人民调解组织。负责对参保医疗机构发生的医疗纠纷案件进行调查、调解</w:t>
      </w:r>
      <w:r>
        <w:rPr>
          <w:rFonts w:hint="eastAsia" w:ascii="宋体" w:hAnsi="宋体" w:cs="宋体"/>
          <w:b/>
          <w:bCs/>
          <w:color w:val="000000"/>
          <w:sz w:val="21"/>
          <w:szCs w:val="21"/>
        </w:rPr>
        <w:t>。</w:t>
      </w:r>
    </w:p>
    <w:p w14:paraId="6044E804">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color w:val="000000"/>
          <w:sz w:val="21"/>
          <w:szCs w:val="21"/>
        </w:rPr>
      </w:pPr>
      <w:r>
        <w:rPr>
          <w:rFonts w:hint="eastAsia" w:ascii="宋体" w:hAnsi="宋体" w:cs="宋体"/>
          <w:color w:val="000000"/>
          <w:sz w:val="21"/>
          <w:szCs w:val="21"/>
        </w:rPr>
        <w:t>广东和谐医患纠纷人民调解委员会（以下简称“广东和谐医调委”）是依托于广东省人民调解员协会，并经广东省司法厅同意设立的行业性、专业性的医患纠纷第三方人民调解组织</w:t>
      </w:r>
      <w:r>
        <w:rPr>
          <w:rFonts w:hint="eastAsia" w:ascii="宋体" w:hAnsi="宋体" w:cs="宋体"/>
          <w:b/>
          <w:bCs/>
          <w:color w:val="000000"/>
          <w:sz w:val="21"/>
          <w:szCs w:val="21"/>
        </w:rPr>
        <w:t>。</w:t>
      </w:r>
    </w:p>
    <w:p w14:paraId="1B91BEF6">
      <w:pPr>
        <w:shd w:val="clear" w:color="auto" w:fill="FFFFFF"/>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“广东和谐医调委”负责邀请医学、法律专家从专业角度对参保医疗机构发生的医疗纠纷案件进行性质认定、责任认定和赔偿损失认定，医学、法律专家的认定意见作为保险公司的理赔依据。</w:t>
      </w:r>
    </w:p>
    <w:p w14:paraId="715959E1">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b/>
          <w:bCs/>
          <w:color w:val="000000"/>
          <w:sz w:val="21"/>
          <w:szCs w:val="21"/>
        </w:rPr>
      </w:pPr>
      <w:r>
        <w:rPr>
          <w:rFonts w:hint="eastAsia" w:ascii="宋体" w:hAnsi="宋体" w:cs="宋体"/>
          <w:color w:val="000000"/>
          <w:sz w:val="21"/>
          <w:szCs w:val="21"/>
        </w:rPr>
        <w:t>保险经纪股份有限公司负责协助参保医疗机构对发生的医疗纠纷案件进行后续索赔，确保保险公司依法依约、及时赔付。</w:t>
      </w:r>
    </w:p>
    <w:p w14:paraId="35391B05">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参保医疗机构发生医疗纠纷案件后，应向“医调委”提出调解申请，“医调委”根据医疗纠纷案件双方当事人的申请进行调解处理。</w:t>
      </w:r>
      <w:r>
        <w:rPr>
          <w:rFonts w:hint="eastAsia" w:ascii="宋体" w:hAnsi="宋体" w:cs="宋体"/>
          <w:b/>
          <w:bCs/>
          <w:color w:val="000000"/>
          <w:sz w:val="21"/>
          <w:szCs w:val="21"/>
        </w:rPr>
        <w:t xml:space="preserve">  </w:t>
      </w:r>
    </w:p>
    <w:p w14:paraId="3C614099">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医疗机构、保险公司对涉及医疗纠纷案件的性质认定、责任认定和赔偿损失认定等有重大异议，可以提请医疗责任保险赔案合议会（以下简称“合议会”）进行审议。</w:t>
      </w:r>
    </w:p>
    <w:p w14:paraId="45BBFC93">
      <w:pPr>
        <w:numPr>
          <w:ilvl w:val="2"/>
          <w:numId w:val="6"/>
        </w:numPr>
        <w:shd w:val="clear" w:color="auto" w:fill="FFFFFF"/>
        <w:spacing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医调委”调解仍无法达成协议的医疗纠纷案件，调解员应引导医疗纠纷案件双方当事人依法申请医疗损害鉴定、医疗事故技术鉴定或通过司法诉讼、仲裁以及行政调解等合法方式解决纠纷。对于调解不成功，再通过法律规定程序和方式处理的医疗纠纷案件，保险公司依照相关法律规定并按照保险合同约定理赔。</w:t>
      </w:r>
    </w:p>
    <w:p w14:paraId="1A4FB2C8">
      <w:pPr>
        <w:numPr>
          <w:ilvl w:val="2"/>
          <w:numId w:val="6"/>
        </w:numPr>
        <w:shd w:val="clear" w:color="auto" w:fill="FFFFFF"/>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经纪公司在协助参保医疗机构进行保险索赔时，应当遵循公正、公平的原则，依据事实和相关法律、法规、保险合同规定进行处理。</w:t>
      </w:r>
    </w:p>
    <w:p w14:paraId="1898E9D7">
      <w:pPr>
        <w:shd w:val="clear" w:color="auto" w:fill="FFFFFF"/>
        <w:spacing w:before="100" w:beforeAutospacing="1" w:after="100" w:afterAutospacing="1" w:line="360" w:lineRule="auto"/>
        <w:ind w:left="750" w:hanging="750"/>
        <w:jc w:val="center"/>
        <w:rPr>
          <w:rFonts w:hint="eastAsia" w:ascii="宋体" w:hAnsi="宋体" w:cs="宋体"/>
          <w:color w:val="000000"/>
          <w:sz w:val="21"/>
          <w:szCs w:val="21"/>
        </w:rPr>
      </w:pPr>
      <w:r>
        <w:rPr>
          <w:rFonts w:hint="eastAsia" w:ascii="宋体" w:hAnsi="宋体" w:cs="宋体"/>
          <w:b/>
          <w:bCs/>
          <w:color w:val="000000"/>
          <w:sz w:val="21"/>
          <w:szCs w:val="21"/>
        </w:rPr>
        <w:t>第二章  案件赔偿处理程序</w:t>
      </w:r>
    </w:p>
    <w:p w14:paraId="028E3ACE">
      <w:pPr>
        <w:numPr>
          <w:ilvl w:val="2"/>
          <w:numId w:val="6"/>
        </w:numPr>
        <w:shd w:val="clear" w:color="auto" w:fill="FFFFFF"/>
        <w:spacing w:before="100" w:beforeAutospacing="1" w:after="100" w:afterAutospacing="1" w:line="360" w:lineRule="auto"/>
        <w:ind w:left="0" w:firstLine="402"/>
        <w:rPr>
          <w:rFonts w:hint="eastAsia" w:ascii="宋体" w:hAnsi="宋体" w:cs="宋体"/>
          <w:color w:val="000000"/>
          <w:sz w:val="21"/>
          <w:szCs w:val="21"/>
        </w:rPr>
      </w:pPr>
      <w:r>
        <w:rPr>
          <w:rFonts w:hint="eastAsia" w:ascii="宋体" w:hAnsi="宋体" w:cs="宋体"/>
          <w:color w:val="000000"/>
          <w:sz w:val="21"/>
          <w:szCs w:val="21"/>
        </w:rPr>
        <w:t>广东省医疗责任保险赔案处理按照以下程序执行。</w:t>
      </w:r>
    </w:p>
    <w:p w14:paraId="47E17B2D">
      <w:pPr>
        <w:shd w:val="clear" w:color="auto" w:fill="FFFFFF"/>
        <w:spacing w:before="100" w:beforeAutospacing="1" w:after="100" w:afterAutospacing="1" w:line="360" w:lineRule="auto"/>
        <w:jc w:val="center"/>
        <w:rPr>
          <w:rFonts w:hint="eastAsia" w:ascii="宋体" w:hAnsi="宋体" w:cs="宋体"/>
          <w:color w:val="000000"/>
          <w:sz w:val="21"/>
          <w:szCs w:val="21"/>
        </w:rPr>
      </w:pPr>
      <w:r>
        <w:rPr>
          <w:rFonts w:hint="eastAsia" w:ascii="宋体" w:hAnsi="宋体" w:cs="宋体"/>
          <w:b/>
          <w:bCs/>
          <w:color w:val="000000"/>
          <w:sz w:val="21"/>
          <w:szCs w:val="21"/>
        </w:rPr>
        <w:t>接、报案程序</w:t>
      </w:r>
    </w:p>
    <w:p w14:paraId="707A6275">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医疗纠纷案件发生时，参保医疗机构应及时通知“广东和谐医调委”</w:t>
      </w:r>
      <w:r>
        <w:rPr>
          <w:rFonts w:hint="eastAsia" w:ascii="宋体" w:hAnsi="宋体" w:cs="宋体"/>
          <w:sz w:val="21"/>
          <w:szCs w:val="21"/>
        </w:rPr>
        <w:t>和书面报案至</w:t>
      </w:r>
      <w:r>
        <w:rPr>
          <w:rFonts w:hint="eastAsia" w:ascii="宋体" w:hAnsi="宋体" w:cs="宋体"/>
          <w:bCs/>
          <w:sz w:val="21"/>
          <w:szCs w:val="21"/>
        </w:rPr>
        <w:t>广东医疗责任保险</w:t>
      </w:r>
      <w:r>
        <w:rPr>
          <w:rFonts w:hint="eastAsia" w:ascii="宋体" w:hAnsi="宋体" w:cs="宋体"/>
          <w:bCs/>
          <w:sz w:val="21"/>
          <w:szCs w:val="21"/>
          <w:lang w:eastAsia="zh-CN"/>
        </w:rPr>
        <w:t>示范</w:t>
      </w:r>
      <w:r>
        <w:rPr>
          <w:rFonts w:hint="eastAsia" w:ascii="宋体" w:hAnsi="宋体" w:cs="宋体"/>
          <w:bCs/>
          <w:sz w:val="21"/>
          <w:szCs w:val="21"/>
        </w:rPr>
        <w:t>项目统一报案邮箱或在广东和谐医调委医疗纠纷信息系统报案</w:t>
      </w:r>
      <w:r>
        <w:rPr>
          <w:rFonts w:hint="eastAsia" w:ascii="宋体" w:hAnsi="宋体" w:cs="宋体"/>
          <w:sz w:val="21"/>
          <w:szCs w:val="21"/>
        </w:rPr>
        <w:t>。</w:t>
      </w:r>
    </w:p>
    <w:p w14:paraId="41586A3E">
      <w:pPr>
        <w:shd w:val="clear" w:color="auto" w:fill="FFFFFF"/>
        <w:spacing w:before="100" w:beforeAutospacing="1" w:after="100" w:afterAutospacing="1" w:line="360" w:lineRule="auto"/>
        <w:ind w:firstLine="3584" w:firstLineChars="1700"/>
        <w:jc w:val="both"/>
        <w:rPr>
          <w:rFonts w:hint="eastAsia" w:ascii="宋体" w:hAnsi="宋体" w:cs="宋体"/>
          <w:color w:val="000000"/>
          <w:sz w:val="21"/>
          <w:szCs w:val="21"/>
        </w:rPr>
      </w:pPr>
      <w:r>
        <w:rPr>
          <w:rFonts w:hint="eastAsia" w:ascii="宋体" w:hAnsi="宋体" w:cs="宋体"/>
          <w:b/>
          <w:bCs/>
          <w:color w:val="000000"/>
          <w:sz w:val="21"/>
          <w:szCs w:val="21"/>
        </w:rPr>
        <w:t>快速通道程序</w:t>
      </w:r>
    </w:p>
    <w:p w14:paraId="1EA29978">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对事实清楚，法律责任明确，属于保险责任事故的医疗纠纷案件且双方当事人自主达成和解的案件适用本程序。</w:t>
      </w:r>
    </w:p>
    <w:p w14:paraId="5C061C99">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依据保险合同授权，参保医疗机构可以在合同授权权限内与患者签署和解协议。参保医疗机构与患者达成和解协议、支付赔款的5个工作日之内，应将医患双方当事人主体材料、纠纷经过书面材料、和解赔偿（补偿）协议、赔款（补偿）支付证明等案件材料一并提交给“广东和谐医调委”。</w:t>
      </w:r>
    </w:p>
    <w:p w14:paraId="00725CF4">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rPr>
        <w:t>“广东和谐医调委”在收到案件材料的3个工作日内对案件进行登记、核实，并将上述材料提交给</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w:t>
      </w:r>
    </w:p>
    <w:p w14:paraId="26FB9621">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经纪公司对案件资料进行审核，对材料完备的案件于2个工作日内提交保险公司。对于案件材料不齐待补，或存在理赔争议的案件，</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经纪公司应在案件材料补齐后，或理赔争议消除后的2个工作日内将全部材料提交保险公司。</w:t>
      </w:r>
    </w:p>
    <w:p w14:paraId="3CA3204F">
      <w:pPr>
        <w:shd w:val="clear" w:color="auto" w:fill="FFFFFF"/>
        <w:spacing w:before="100" w:beforeAutospacing="1" w:after="100" w:afterAutospacing="1" w:line="360" w:lineRule="auto"/>
        <w:ind w:left="141" w:leftChars="67" w:firstLine="420" w:firstLineChars="200"/>
        <w:rPr>
          <w:rFonts w:hint="eastAsia" w:ascii="宋体" w:hAnsi="宋体" w:cs="宋体"/>
          <w:bCs/>
          <w:sz w:val="21"/>
          <w:szCs w:val="21"/>
        </w:rPr>
      </w:pPr>
      <w:r>
        <w:rPr>
          <w:rFonts w:hint="eastAsia" w:ascii="宋体" w:hAnsi="宋体" w:cs="宋体"/>
          <w:color w:val="000000"/>
          <w:sz w:val="21"/>
          <w:szCs w:val="21"/>
        </w:rPr>
        <w:t>保险公司在</w:t>
      </w:r>
      <w:r>
        <w:rPr>
          <w:rFonts w:hint="eastAsia" w:ascii="宋体" w:hAnsi="宋体" w:cs="宋体"/>
          <w:sz w:val="21"/>
          <w:szCs w:val="21"/>
        </w:rPr>
        <w:t>接到案件</w:t>
      </w:r>
      <w:r>
        <w:rPr>
          <w:rFonts w:hint="eastAsia" w:ascii="宋体" w:hAnsi="宋体" w:cs="宋体"/>
          <w:color w:val="000000"/>
          <w:sz w:val="21"/>
          <w:szCs w:val="21"/>
        </w:rPr>
        <w:t>索赔材料后按保险合同约定的时效内向参保医疗机构赔偿，</w:t>
      </w:r>
      <w:r>
        <w:rPr>
          <w:rFonts w:hint="eastAsia" w:ascii="宋体" w:hAnsi="宋体" w:cs="宋体"/>
          <w:bCs/>
          <w:sz w:val="21"/>
          <w:szCs w:val="21"/>
        </w:rPr>
        <w:t>或依医疗机构申请，将赔偿款项直接支付给患方。</w:t>
      </w:r>
    </w:p>
    <w:p w14:paraId="74B00C3F">
      <w:pPr>
        <w:shd w:val="clear" w:color="auto" w:fill="FFFFFF"/>
        <w:spacing w:before="100" w:beforeAutospacing="1" w:after="100" w:afterAutospacing="1" w:line="360" w:lineRule="auto"/>
        <w:ind w:left="141" w:leftChars="67" w:firstLine="3373" w:firstLineChars="1600"/>
        <w:jc w:val="both"/>
        <w:rPr>
          <w:rFonts w:hint="eastAsia" w:ascii="宋体" w:hAnsi="宋体" w:cs="宋体"/>
          <w:b/>
          <w:sz w:val="21"/>
          <w:szCs w:val="21"/>
        </w:rPr>
      </w:pPr>
      <w:r>
        <w:rPr>
          <w:rFonts w:hint="eastAsia" w:ascii="宋体" w:hAnsi="宋体" w:cs="宋体"/>
          <w:b/>
          <w:sz w:val="21"/>
          <w:szCs w:val="21"/>
        </w:rPr>
        <w:t>调解处理程序</w:t>
      </w:r>
    </w:p>
    <w:p w14:paraId="560D6B91">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对于赔付金额</w:t>
      </w:r>
      <w:r>
        <w:rPr>
          <w:rFonts w:hint="eastAsia" w:ascii="宋体" w:hAnsi="宋体" w:cs="宋体"/>
          <w:bCs/>
          <w:sz w:val="21"/>
          <w:szCs w:val="21"/>
        </w:rPr>
        <w:t>（不含法律费用）</w:t>
      </w:r>
      <w:r>
        <w:rPr>
          <w:rFonts w:hint="eastAsia" w:ascii="宋体" w:hAnsi="宋体" w:cs="宋体"/>
          <w:color w:val="000000"/>
          <w:sz w:val="21"/>
          <w:szCs w:val="21"/>
        </w:rPr>
        <w:t>在20万元以内（含20万元）的医疗纠纷案件，保险公司授权“广东和谐医调委”自主主导医疗纠纷案件双方当事人达成调解协议；“广东和谐医调委”在保险公司授权权限内成功调解的案件，应当在签署调解协议后自案件全部材料收集完毕之日起3个工作日内将相关材料、调解协议书副本提交</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w:t>
      </w:r>
    </w:p>
    <w:p w14:paraId="693F9A82">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经纪公司对案件资料进行审核，对材料完备的案件于2个工作日内提交保险公司。对于案件材料不齐待补，或存在理赔争议的案件，</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经纪公司应在案件材料补齐后，或理赔争议消除后的2个工作日内将全部材料提交保险公司。</w:t>
      </w:r>
    </w:p>
    <w:p w14:paraId="10C76D20">
      <w:pPr>
        <w:shd w:val="clear" w:color="auto" w:fill="FFFFFF"/>
        <w:spacing w:before="100" w:beforeAutospacing="1" w:after="100" w:afterAutospacing="1" w:line="360" w:lineRule="auto"/>
        <w:ind w:left="141" w:leftChars="67" w:firstLine="420" w:firstLineChars="200"/>
        <w:rPr>
          <w:rFonts w:hint="eastAsia" w:ascii="宋体" w:hAnsi="宋体" w:cs="宋体"/>
          <w:bCs/>
          <w:sz w:val="21"/>
          <w:szCs w:val="21"/>
        </w:rPr>
      </w:pPr>
      <w:r>
        <w:rPr>
          <w:rFonts w:hint="eastAsia" w:ascii="宋体" w:hAnsi="宋体" w:cs="宋体"/>
          <w:color w:val="000000"/>
          <w:sz w:val="21"/>
          <w:szCs w:val="21"/>
        </w:rPr>
        <w:t>保险公司在</w:t>
      </w:r>
      <w:r>
        <w:rPr>
          <w:rFonts w:hint="eastAsia" w:ascii="宋体" w:hAnsi="宋体" w:cs="宋体"/>
          <w:sz w:val="21"/>
          <w:szCs w:val="21"/>
        </w:rPr>
        <w:t>接到</w:t>
      </w:r>
      <w:r>
        <w:rPr>
          <w:rFonts w:hint="eastAsia" w:ascii="宋体" w:hAnsi="宋体" w:cs="宋体"/>
          <w:color w:val="000000"/>
          <w:sz w:val="21"/>
          <w:szCs w:val="21"/>
        </w:rPr>
        <w:t>索赔案件材料后按保险合同约定的时效向参保医疗机构赔偿，</w:t>
      </w:r>
      <w:r>
        <w:rPr>
          <w:rFonts w:hint="eastAsia" w:ascii="宋体" w:hAnsi="宋体" w:cs="宋体"/>
          <w:bCs/>
          <w:sz w:val="21"/>
          <w:szCs w:val="21"/>
        </w:rPr>
        <w:t>或依医疗机构申请，将赔偿款项直接支付给患方。</w:t>
      </w:r>
    </w:p>
    <w:p w14:paraId="5C46D18B">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对赔付金额</w:t>
      </w:r>
      <w:r>
        <w:rPr>
          <w:rFonts w:hint="eastAsia" w:ascii="宋体" w:hAnsi="宋体" w:cs="宋体"/>
          <w:bCs/>
          <w:sz w:val="21"/>
          <w:szCs w:val="21"/>
        </w:rPr>
        <w:t>（不含法律费用）</w:t>
      </w:r>
      <w:r>
        <w:rPr>
          <w:rFonts w:hint="eastAsia" w:ascii="宋体" w:hAnsi="宋体" w:cs="宋体"/>
          <w:color w:val="000000"/>
          <w:sz w:val="21"/>
          <w:szCs w:val="21"/>
        </w:rPr>
        <w:t>在20万元以上的医疗纠纷案件，“广东和谐医调委”应召开医疗责任保险赔案评鉴会（以下简称“评鉴会”），根据相应的法律法规对医疗纠纷案件进行性质认定、责任认定和赔偿损失认定。</w:t>
      </w:r>
    </w:p>
    <w:p w14:paraId="70D96033">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rPr>
        <w:t>保险公司应根据评鉴会的认定结论和医疗纠纷案件双方当事人签署的调解协议做出理赔决定并支付保险赔偿金，或依医疗机构申请，将赔偿款项直接支付给患方。</w:t>
      </w:r>
    </w:p>
    <w:p w14:paraId="35AC3C64">
      <w:pPr>
        <w:numPr>
          <w:ilvl w:val="2"/>
          <w:numId w:val="6"/>
        </w:numPr>
        <w:shd w:val="clear" w:color="auto" w:fill="FFFFFF"/>
        <w:spacing w:before="100" w:beforeAutospacing="1" w:after="100" w:afterAutospacing="1" w:line="360" w:lineRule="auto"/>
        <w:ind w:firstLine="420" w:firstLineChars="200"/>
        <w:rPr>
          <w:rFonts w:hint="eastAsia" w:ascii="宋体" w:hAnsi="宋体" w:cs="宋体"/>
          <w:sz w:val="21"/>
          <w:szCs w:val="21"/>
        </w:rPr>
      </w:pPr>
      <w:r>
        <w:rPr>
          <w:rFonts w:hint="eastAsia" w:ascii="宋体" w:hAnsi="宋体" w:cs="宋体"/>
          <w:color w:val="000000"/>
          <w:sz w:val="21"/>
          <w:szCs w:val="21"/>
        </w:rPr>
        <w:t>评</w:t>
      </w:r>
      <w:r>
        <w:rPr>
          <w:rFonts w:hint="eastAsia" w:ascii="宋体" w:hAnsi="宋体" w:cs="宋体"/>
          <w:sz w:val="21"/>
          <w:szCs w:val="21"/>
        </w:rPr>
        <w:t>鉴会由人民调解员</w:t>
      </w:r>
      <w:r>
        <w:rPr>
          <w:rFonts w:hint="eastAsia" w:ascii="宋体" w:hAnsi="宋体" w:cs="宋体"/>
          <w:color w:val="000000"/>
          <w:sz w:val="21"/>
          <w:szCs w:val="21"/>
        </w:rPr>
        <w:t>主持</w:t>
      </w:r>
      <w:r>
        <w:rPr>
          <w:rFonts w:hint="eastAsia" w:ascii="宋体" w:hAnsi="宋体" w:cs="宋体"/>
          <w:sz w:val="21"/>
          <w:szCs w:val="21"/>
        </w:rPr>
        <w:t>、</w:t>
      </w:r>
      <w:r>
        <w:rPr>
          <w:rFonts w:hint="eastAsia" w:ascii="宋体" w:hAnsi="宋体" w:cs="宋体"/>
          <w:color w:val="000000"/>
          <w:sz w:val="21"/>
          <w:szCs w:val="21"/>
        </w:rPr>
        <w:t>医学专家、法律专家、</w:t>
      </w:r>
      <w:r>
        <w:rPr>
          <w:rFonts w:hint="eastAsia" w:ascii="宋体" w:hAnsi="宋体" w:cs="宋体"/>
          <w:sz w:val="21"/>
          <w:szCs w:val="21"/>
        </w:rPr>
        <w:t>保险公司代表</w:t>
      </w:r>
      <w:r>
        <w:rPr>
          <w:rFonts w:hint="eastAsia" w:ascii="宋体" w:hAnsi="宋体" w:cs="宋体"/>
          <w:color w:val="000000"/>
          <w:sz w:val="21"/>
          <w:szCs w:val="21"/>
        </w:rPr>
        <w:t>列席</w:t>
      </w:r>
      <w:r>
        <w:rPr>
          <w:rFonts w:hint="eastAsia" w:ascii="宋体" w:hAnsi="宋体" w:cs="宋体"/>
          <w:sz w:val="21"/>
          <w:szCs w:val="21"/>
        </w:rPr>
        <w:t>。参加评鉴会的医学和法律专家从“广东和谐医调委”建立的专家库中选取。</w:t>
      </w:r>
    </w:p>
    <w:p w14:paraId="1080ECFC">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评鉴会原则上</w:t>
      </w:r>
      <w:r>
        <w:rPr>
          <w:rFonts w:hint="eastAsia" w:ascii="宋体" w:hAnsi="宋体" w:cs="宋体"/>
          <w:sz w:val="21"/>
          <w:szCs w:val="21"/>
        </w:rPr>
        <w:t>设不少于</w:t>
      </w:r>
      <w:r>
        <w:rPr>
          <w:rFonts w:hint="eastAsia" w:ascii="宋体" w:hAnsi="宋体" w:cs="宋体"/>
          <w:color w:val="000000"/>
          <w:sz w:val="21"/>
          <w:szCs w:val="21"/>
        </w:rPr>
        <w:t>4个表决席位，其中医学专家表决席位不少于3个，法律专家表决席位不少于1个</w:t>
      </w:r>
      <w:r>
        <w:rPr>
          <w:rFonts w:hint="eastAsia" w:ascii="宋体" w:hAnsi="宋体" w:cs="宋体"/>
          <w:sz w:val="21"/>
          <w:szCs w:val="21"/>
        </w:rPr>
        <w:t>。提请评鉴会审议的医疗纠纷案件由</w:t>
      </w:r>
      <w:r>
        <w:rPr>
          <w:rFonts w:hint="eastAsia" w:ascii="宋体" w:hAnsi="宋体" w:cs="宋体"/>
          <w:color w:val="000000"/>
          <w:sz w:val="21"/>
          <w:szCs w:val="21"/>
        </w:rPr>
        <w:t>医学专家、法律专家共同负责医疗纠纷案件的性质认定和责任认定；由法律专家负责赔偿损失认定。</w:t>
      </w:r>
    </w:p>
    <w:p w14:paraId="1A8A879F">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rPr>
        <w:t>评鉴会工作结束后，由参加评鉴的</w:t>
      </w:r>
      <w:r>
        <w:rPr>
          <w:rFonts w:hint="eastAsia" w:ascii="宋体" w:hAnsi="宋体" w:cs="宋体"/>
          <w:color w:val="000000"/>
          <w:sz w:val="21"/>
          <w:szCs w:val="21"/>
          <w:lang w:eastAsia="zh-CN"/>
        </w:rPr>
        <w:t>成员</w:t>
      </w:r>
      <w:r>
        <w:rPr>
          <w:rFonts w:hint="eastAsia" w:ascii="宋体" w:hAnsi="宋体" w:cs="宋体"/>
          <w:color w:val="000000"/>
          <w:sz w:val="21"/>
          <w:szCs w:val="21"/>
        </w:rPr>
        <w:t>签字确认评鉴结果，该结果将作为人民调解员的调解依据</w:t>
      </w:r>
    </w:p>
    <w:p w14:paraId="030982EB">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评鉴会成员在鉴定医疗纠纷案件时，如果与医疗纠纷案件双方当事人存在利害关系，应当回避。</w:t>
      </w:r>
    </w:p>
    <w:p w14:paraId="442684A9">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负责医疗纠纷案件调解的人民调解员应当在签署调解协议后自案件全部材料收集完毕之日起3个工作日内将案件相关材料和调解协议书提交</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w:t>
      </w:r>
    </w:p>
    <w:p w14:paraId="1F121A9E">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经纪公司对案件资料进行审核，对材料完备的案件于2个工作日内提交保险公司。对于案件材料不齐待补，或存在理赔争议的案件，</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经纪公司应在案件材料补齐后，或理赔争议消除后的2个工作日内将全部材料提交保险公司。</w:t>
      </w:r>
    </w:p>
    <w:p w14:paraId="25575E32">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保险公司在接到评鉴结论、调解协议书副本和案件相关材料后按保险合同约定的时效向参保医疗机构赔偿，或依医疗机构申请，将赔偿款项直接支付给患方。</w:t>
      </w:r>
    </w:p>
    <w:p w14:paraId="59E1BC6F">
      <w:pPr>
        <w:shd w:val="clear" w:color="auto" w:fill="FFFFFF"/>
        <w:spacing w:before="100" w:beforeAutospacing="1" w:after="100" w:afterAutospacing="1" w:line="360" w:lineRule="auto"/>
        <w:ind w:firstLine="3584" w:firstLineChars="1700"/>
        <w:jc w:val="both"/>
        <w:rPr>
          <w:rFonts w:hint="eastAsia" w:ascii="宋体" w:hAnsi="宋体" w:cs="宋体"/>
          <w:color w:val="000000"/>
          <w:sz w:val="21"/>
          <w:szCs w:val="21"/>
        </w:rPr>
      </w:pPr>
      <w:r>
        <w:rPr>
          <w:rFonts w:hint="eastAsia" w:ascii="宋体" w:hAnsi="宋体" w:cs="宋体"/>
          <w:b/>
          <w:bCs/>
          <w:color w:val="000000"/>
          <w:sz w:val="21"/>
          <w:szCs w:val="21"/>
          <w:lang w:eastAsia="zh-CN"/>
        </w:rPr>
        <w:t>其他</w:t>
      </w:r>
      <w:r>
        <w:rPr>
          <w:rFonts w:hint="eastAsia" w:ascii="宋体" w:hAnsi="宋体" w:cs="宋体"/>
          <w:b/>
          <w:bCs/>
          <w:color w:val="000000"/>
          <w:sz w:val="21"/>
          <w:szCs w:val="21"/>
        </w:rPr>
        <w:t>处理程序</w:t>
      </w:r>
    </w:p>
    <w:p w14:paraId="0D805ED1">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医疗纠纷案件双方当事人通过行政调解、仲裁或诉讼的案件，保险公司依法按照保险合同约定进行赔偿。</w:t>
      </w:r>
    </w:p>
    <w:p w14:paraId="64A590BF">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参保医疗机构依据生效的行政调解书、仲裁裁决书、法院裁定书、法院判决书赔偿患者后，将赔付证明连同有关证明材料提交“广东和谐医调委”，“广东和谐医调委”经调查核实后转</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经纪公司提交保险公司，经保险公司审核属实且符合广东医疗责任保险理赔范围的，保险公司在收到所有材料后按照保险服务承诺时效向医疗机构支付赔款，或依医疗机构申请，将赔偿款项直接支付给患方。</w:t>
      </w:r>
    </w:p>
    <w:p w14:paraId="55A7537C">
      <w:pPr>
        <w:shd w:val="clear" w:color="auto" w:fill="FFFFFF"/>
        <w:spacing w:before="100" w:beforeAutospacing="1" w:after="100" w:afterAutospacing="1" w:line="360" w:lineRule="auto"/>
        <w:ind w:left="105" w:leftChars="50" w:firstLine="420" w:firstLineChars="200"/>
        <w:rPr>
          <w:rFonts w:hint="eastAsia" w:ascii="宋体" w:hAnsi="宋体" w:cs="宋体"/>
          <w:color w:val="000000"/>
          <w:sz w:val="21"/>
          <w:szCs w:val="21"/>
        </w:rPr>
      </w:pPr>
      <w:r>
        <w:rPr>
          <w:rFonts w:hint="eastAsia" w:ascii="宋体" w:hAnsi="宋体" w:cs="宋体"/>
          <w:color w:val="000000"/>
          <w:sz w:val="21"/>
          <w:szCs w:val="21"/>
        </w:rPr>
        <w:t>对于依据行政调解书、仲裁庭或法院出具的和（调）解书所确定的赔偿，保险公司有异议的，可以要求“广东和谐医调委”组织专家分析，保险公司根据专家分析意见并在收到所有材料后按保险合同约定的时效向医疗机构支付赔款，或依医疗机构申请，将赔偿款项直接支付给患方。</w:t>
      </w:r>
    </w:p>
    <w:p w14:paraId="7DCA906D">
      <w:pPr>
        <w:numPr>
          <w:ilvl w:val="2"/>
          <w:numId w:val="6"/>
        </w:numPr>
        <w:shd w:val="clear" w:color="auto" w:fill="FFFFFF"/>
        <w:spacing w:before="100" w:beforeAutospacing="1" w:after="100" w:afterAutospacing="1"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医疗</w:t>
      </w:r>
      <w:r>
        <w:rPr>
          <w:rFonts w:hint="eastAsia" w:ascii="宋体" w:hAnsi="宋体" w:cs="宋体"/>
          <w:sz w:val="21"/>
          <w:szCs w:val="21"/>
        </w:rPr>
        <w:t>诉讼/仲裁案件由</w:t>
      </w:r>
      <w:r>
        <w:rPr>
          <w:rFonts w:hint="eastAsia" w:ascii="宋体" w:hAnsi="宋体" w:cs="宋体"/>
          <w:sz w:val="21"/>
          <w:szCs w:val="21"/>
          <w:lang w:eastAsia="zh-CN"/>
        </w:rPr>
        <w:t>保险</w:t>
      </w:r>
      <w:r>
        <w:rPr>
          <w:rFonts w:hint="eastAsia" w:ascii="宋体" w:hAnsi="宋体" w:cs="宋体"/>
          <w:sz w:val="21"/>
          <w:szCs w:val="21"/>
        </w:rPr>
        <w:t>经纪公司推荐的律师</w:t>
      </w:r>
      <w:r>
        <w:rPr>
          <w:rFonts w:hint="eastAsia" w:ascii="宋体" w:hAnsi="宋体" w:cs="宋体"/>
          <w:sz w:val="21"/>
          <w:szCs w:val="21"/>
          <w:lang w:eastAsia="zh-CN"/>
        </w:rPr>
        <w:t>或者</w:t>
      </w:r>
      <w:r>
        <w:rPr>
          <w:rFonts w:hint="eastAsia" w:ascii="宋体" w:hAnsi="宋体" w:cs="宋体"/>
          <w:sz w:val="21"/>
          <w:szCs w:val="21"/>
        </w:rPr>
        <w:t>医疗机构推荐的律师代理应诉，代理律师应取得医疗机构授权委托书；在医疗机构、保险公司共同确定代理律师后，由律师、医疗机构、保险公司</w:t>
      </w:r>
      <w:r>
        <w:rPr>
          <w:rFonts w:hint="eastAsia" w:ascii="宋体" w:hAnsi="宋体" w:cs="宋体"/>
          <w:sz w:val="21"/>
          <w:szCs w:val="21"/>
          <w:lang w:eastAsia="zh-CN"/>
        </w:rPr>
        <w:t>签订</w:t>
      </w:r>
      <w:r>
        <w:rPr>
          <w:rFonts w:hint="eastAsia" w:ascii="宋体" w:hAnsi="宋体" w:cs="宋体"/>
          <w:sz w:val="21"/>
          <w:szCs w:val="21"/>
        </w:rPr>
        <w:t>委托代理合同。律师代理费按照本合同约定的律师费收费标准执行</w:t>
      </w:r>
      <w:r>
        <w:rPr>
          <w:rFonts w:hint="eastAsia" w:ascii="宋体" w:hAnsi="宋体" w:cs="宋体"/>
          <w:bCs/>
          <w:sz w:val="21"/>
          <w:szCs w:val="21"/>
        </w:rPr>
        <w:t>，律师代理费由保险公司按规定支付。</w:t>
      </w:r>
    </w:p>
    <w:p w14:paraId="38064108">
      <w:pPr>
        <w:numPr>
          <w:ilvl w:val="2"/>
          <w:numId w:val="6"/>
        </w:numPr>
        <w:shd w:val="clear" w:color="auto" w:fill="FFFFFF"/>
        <w:spacing w:before="100" w:beforeAutospacing="1" w:after="100" w:afterAutospacing="1" w:line="360" w:lineRule="auto"/>
        <w:ind w:firstLine="422" w:firstLineChars="200"/>
        <w:rPr>
          <w:rFonts w:hint="eastAsia" w:ascii="宋体" w:hAnsi="宋体" w:cs="宋体"/>
          <w:color w:val="000000"/>
          <w:sz w:val="21"/>
          <w:szCs w:val="21"/>
        </w:rPr>
      </w:pPr>
      <w:r>
        <w:rPr>
          <w:rFonts w:hint="eastAsia" w:ascii="宋体" w:hAnsi="宋体" w:cs="宋体"/>
          <w:b/>
          <w:bCs/>
          <w:color w:val="000000"/>
          <w:sz w:val="21"/>
          <w:szCs w:val="21"/>
        </w:rPr>
        <w:t>“</w:t>
      </w:r>
      <w:r>
        <w:rPr>
          <w:rFonts w:hint="eastAsia" w:ascii="宋体" w:hAnsi="宋体" w:cs="宋体"/>
          <w:color w:val="000000"/>
          <w:sz w:val="21"/>
          <w:szCs w:val="21"/>
        </w:rPr>
        <w:t>广东和谐医调委”应积极与各地政府、司法等部门组建成立的人民调解组织或第三方调解援助机构密切协作，根据实际情况和各项条件</w:t>
      </w:r>
      <w:r>
        <w:rPr>
          <w:rFonts w:hint="eastAsia" w:ascii="宋体" w:hAnsi="宋体" w:cs="宋体"/>
          <w:color w:val="000000"/>
          <w:sz w:val="21"/>
          <w:szCs w:val="21"/>
          <w:lang w:eastAsia="zh-CN"/>
        </w:rPr>
        <w:t>做好</w:t>
      </w:r>
      <w:r>
        <w:rPr>
          <w:rFonts w:hint="eastAsia" w:ascii="宋体" w:hAnsi="宋体" w:cs="宋体"/>
          <w:color w:val="000000"/>
          <w:sz w:val="21"/>
          <w:szCs w:val="21"/>
        </w:rPr>
        <w:t>参保医疗机构的医疗损害赔偿处理工作。</w:t>
      </w:r>
    </w:p>
    <w:p w14:paraId="19799339">
      <w:pPr>
        <w:shd w:val="clear" w:color="auto" w:fill="FFFFFF"/>
        <w:spacing w:before="100" w:beforeAutospacing="1" w:after="100" w:afterAutospacing="1" w:line="360" w:lineRule="auto"/>
        <w:ind w:firstLine="3373" w:firstLineChars="1600"/>
        <w:jc w:val="both"/>
        <w:rPr>
          <w:rFonts w:hint="eastAsia" w:ascii="宋体" w:hAnsi="宋体" w:cs="宋体"/>
          <w:color w:val="000000"/>
          <w:sz w:val="21"/>
          <w:szCs w:val="21"/>
        </w:rPr>
      </w:pPr>
      <w:r>
        <w:rPr>
          <w:rFonts w:hint="eastAsia" w:ascii="宋体" w:hAnsi="宋体" w:cs="宋体"/>
          <w:b/>
          <w:bCs/>
          <w:color w:val="000000"/>
          <w:sz w:val="21"/>
          <w:szCs w:val="21"/>
        </w:rPr>
        <w:t>第三章 合议会程序</w:t>
      </w:r>
    </w:p>
    <w:p w14:paraId="7ABCB8D0">
      <w:pPr>
        <w:numPr>
          <w:ilvl w:val="2"/>
          <w:numId w:val="6"/>
        </w:numPr>
        <w:spacing w:before="100" w:beforeAutospacing="1" w:after="100" w:afterAutospacing="1" w:line="360" w:lineRule="auto"/>
        <w:ind w:firstLine="420" w:firstLineChars="200"/>
        <w:rPr>
          <w:rFonts w:hint="eastAsia" w:ascii="宋体" w:hAnsi="宋体" w:cs="宋体"/>
          <w:sz w:val="21"/>
          <w:szCs w:val="21"/>
        </w:rPr>
      </w:pPr>
      <w:r>
        <w:rPr>
          <w:rFonts w:hint="eastAsia" w:ascii="宋体" w:hAnsi="宋体" w:cs="宋体"/>
          <w:color w:val="000000"/>
          <w:sz w:val="21"/>
          <w:szCs w:val="21"/>
        </w:rPr>
        <w:t>医疗机构、保险公司对涉及医疗纠纷案件的性质认定、责任认定和赔偿损失认定等有重大异议，可以提请医疗责任保险赔案合议会（以下简称“合议会”）进行审议或申请司法鉴定。保险公司应依据合议决定或司法鉴定结论做出理赔决定。</w:t>
      </w:r>
    </w:p>
    <w:p w14:paraId="505D262B">
      <w:pPr>
        <w:numPr>
          <w:ilvl w:val="2"/>
          <w:numId w:val="6"/>
        </w:numPr>
        <w:spacing w:before="100" w:beforeAutospacing="1" w:after="100" w:afterAutospacing="1" w:line="360" w:lineRule="auto"/>
        <w:ind w:firstLine="420" w:firstLineChars="200"/>
        <w:rPr>
          <w:rFonts w:hint="eastAsia" w:ascii="宋体" w:hAnsi="宋体" w:cs="宋体"/>
          <w:bCs/>
          <w:sz w:val="21"/>
          <w:szCs w:val="21"/>
        </w:rPr>
      </w:pPr>
      <w:r>
        <w:rPr>
          <w:rFonts w:hint="eastAsia" w:ascii="宋体" w:hAnsi="宋体" w:cs="宋体"/>
          <w:color w:val="000000"/>
          <w:sz w:val="21"/>
          <w:szCs w:val="21"/>
        </w:rPr>
        <w:t>合议会由“广东和谐医调委”组织召开。会议成员由保险公司代表</w:t>
      </w:r>
      <w:r>
        <w:rPr>
          <w:rFonts w:hint="eastAsia" w:ascii="宋体" w:hAnsi="宋体" w:cs="宋体"/>
          <w:color w:val="000000"/>
          <w:sz w:val="21"/>
          <w:szCs w:val="21"/>
          <w:lang w:eastAsia="zh-CN"/>
        </w:rPr>
        <w:t>及</w:t>
      </w:r>
      <w:r>
        <w:rPr>
          <w:rFonts w:hint="eastAsia" w:ascii="宋体" w:hAnsi="宋体" w:cs="宋体"/>
          <w:color w:val="000000"/>
          <w:sz w:val="21"/>
          <w:szCs w:val="21"/>
        </w:rPr>
        <w:t>医学及法律专家、广东和谐医调委代表、医疗机构代表、广东和谐医调委邀请的医学及法律专家组成。在事实清楚、责任明确的基础上，充分协商</w:t>
      </w:r>
      <w:r>
        <w:rPr>
          <w:rFonts w:hint="eastAsia" w:ascii="宋体" w:hAnsi="宋体" w:cs="宋体"/>
          <w:color w:val="000000"/>
          <w:sz w:val="21"/>
          <w:szCs w:val="21"/>
          <w:lang w:eastAsia="zh-CN"/>
        </w:rPr>
        <w:t>作出</w:t>
      </w:r>
      <w:r>
        <w:rPr>
          <w:rFonts w:hint="eastAsia" w:ascii="宋体" w:hAnsi="宋体" w:cs="宋体"/>
          <w:color w:val="000000"/>
          <w:sz w:val="21"/>
          <w:szCs w:val="21"/>
        </w:rPr>
        <w:t>会议决定，并由参会人员签字确认。</w:t>
      </w:r>
    </w:p>
    <w:p w14:paraId="578A4665">
      <w:pPr>
        <w:widowControl/>
        <w:numPr>
          <w:ilvl w:val="2"/>
          <w:numId w:val="6"/>
        </w:numPr>
        <w:spacing w:before="100" w:beforeAutospacing="1" w:after="100" w:afterAutospacing="1" w:line="360" w:lineRule="auto"/>
        <w:ind w:firstLine="422" w:firstLineChars="200"/>
        <w:jc w:val="left"/>
        <w:rPr>
          <w:rFonts w:hint="eastAsia" w:ascii="宋体" w:hAnsi="宋体" w:cs="宋体"/>
          <w:color w:val="000000"/>
          <w:sz w:val="21"/>
          <w:szCs w:val="21"/>
        </w:rPr>
      </w:pPr>
      <w:r>
        <w:rPr>
          <w:rFonts w:hint="eastAsia" w:ascii="宋体" w:hAnsi="宋体" w:cs="宋体"/>
          <w:b/>
          <w:bCs/>
          <w:color w:val="000000"/>
          <w:sz w:val="21"/>
          <w:szCs w:val="21"/>
        </w:rPr>
        <w:t xml:space="preserve"> </w:t>
      </w:r>
      <w:r>
        <w:rPr>
          <w:rFonts w:hint="eastAsia" w:ascii="宋体" w:hAnsi="宋体" w:cs="宋体"/>
          <w:color w:val="000000"/>
          <w:sz w:val="21"/>
          <w:szCs w:val="21"/>
        </w:rPr>
        <w:t>按照合议决定成功调解的医疗纠纷案件，负责调解的人民调解员应当在医疗纠纷案件双方当事人签订调解协议后的3个工作日内将合议决定、调解协议书副本和案件相关材料提交</w:t>
      </w:r>
      <w:r>
        <w:rPr>
          <w:rFonts w:hint="eastAsia" w:ascii="宋体" w:hAnsi="宋体" w:cs="宋体"/>
          <w:color w:val="000000"/>
          <w:sz w:val="21"/>
          <w:szCs w:val="21"/>
          <w:lang w:eastAsia="zh-CN"/>
        </w:rPr>
        <w:t>保险</w:t>
      </w:r>
      <w:r>
        <w:rPr>
          <w:rFonts w:hint="eastAsia" w:ascii="宋体" w:hAnsi="宋体" w:cs="宋体"/>
          <w:color w:val="000000"/>
          <w:sz w:val="21"/>
          <w:szCs w:val="21"/>
        </w:rPr>
        <w:t>经纪公司。</w:t>
      </w:r>
    </w:p>
    <w:p w14:paraId="338047E4">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eastAsia="zh-CN"/>
        </w:rPr>
        <w:t>保险</w:t>
      </w:r>
      <w:r>
        <w:rPr>
          <w:rFonts w:hint="eastAsia" w:ascii="宋体" w:hAnsi="宋体" w:cs="宋体"/>
          <w:color w:val="000000"/>
          <w:sz w:val="21"/>
          <w:szCs w:val="21"/>
        </w:rPr>
        <w:t>经纪公司在接到合议决定、调解协议书副本和案件相关材料后的2个工作日内向保险公司提交。</w:t>
      </w:r>
    </w:p>
    <w:p w14:paraId="13DE07A5">
      <w:pPr>
        <w:shd w:val="clear" w:color="auto" w:fill="FFFFFF"/>
        <w:spacing w:before="100" w:beforeAutospacing="1" w:after="100" w:afterAutospacing="1" w:line="360" w:lineRule="auto"/>
        <w:ind w:left="141" w:leftChars="67" w:firstLine="420" w:firstLineChars="200"/>
        <w:rPr>
          <w:rFonts w:hint="eastAsia" w:ascii="宋体" w:hAnsi="宋体" w:cs="宋体"/>
          <w:color w:val="000000"/>
          <w:sz w:val="21"/>
          <w:szCs w:val="21"/>
        </w:rPr>
      </w:pPr>
      <w:r>
        <w:rPr>
          <w:rFonts w:hint="eastAsia" w:ascii="宋体" w:hAnsi="宋体" w:cs="宋体"/>
          <w:color w:val="000000"/>
          <w:sz w:val="21"/>
          <w:szCs w:val="21"/>
        </w:rPr>
        <w:t>对于案件材料不齐待补的案件，保险经纪公司应在案件材料补齐后的2个工作日内将全部材料提交保险公司。</w:t>
      </w:r>
    </w:p>
    <w:p w14:paraId="46DB7BE9">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保险公司在接到合议决定、调解协议书副本和相关材料后按保险服务承诺的时效向参保医疗机构赔偿，或依医疗机构申请，将赔偿款项直接支付给患方。</w:t>
      </w:r>
    </w:p>
    <w:p w14:paraId="0710D80C">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医疗</w:t>
      </w:r>
      <w:r>
        <w:rPr>
          <w:rFonts w:hint="eastAsia" w:ascii="宋体" w:hAnsi="宋体" w:cs="宋体"/>
          <w:bCs/>
          <w:sz w:val="21"/>
          <w:szCs w:val="21"/>
        </w:rPr>
        <w:t>机构、保险公司不接受 “合议会” 就保险理赔作出的决定，任一方可通过司法诉讼或仲裁途径处理保险理赔争议，保险公司按照司法诉讼或仲裁结果进行赔付。</w:t>
      </w:r>
    </w:p>
    <w:p w14:paraId="5E91F304">
      <w:pPr>
        <w:shd w:val="clear" w:color="auto" w:fill="FFFFFF"/>
        <w:tabs>
          <w:tab w:val="left" w:pos="1316"/>
          <w:tab w:val="center" w:pos="4955"/>
        </w:tabs>
        <w:spacing w:before="100" w:beforeAutospacing="1" w:after="100" w:afterAutospacing="1" w:line="360" w:lineRule="auto"/>
        <w:ind w:firstLine="3373" w:firstLineChars="1600"/>
        <w:jc w:val="both"/>
        <w:rPr>
          <w:rFonts w:hint="eastAsia" w:ascii="宋体" w:hAnsi="宋体" w:cs="宋体"/>
          <w:color w:val="000000"/>
          <w:sz w:val="21"/>
          <w:szCs w:val="21"/>
        </w:rPr>
      </w:pPr>
      <w:r>
        <w:rPr>
          <w:rFonts w:hint="eastAsia" w:ascii="宋体" w:hAnsi="宋体" w:cs="宋体"/>
          <w:b/>
          <w:bCs/>
          <w:color w:val="000000"/>
          <w:sz w:val="21"/>
          <w:szCs w:val="21"/>
        </w:rPr>
        <w:t>第四章  附则</w:t>
      </w:r>
    </w:p>
    <w:p w14:paraId="4F800784">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参与医疗责任保险赔案处理的各方应当严格遵守本办法规定并遵照执行，如有违反，应当及时纠正，拒不纠正的视为构成对广东省医疗责任保险的违约行为，“广东和谐医调委”有权根据相应规定进行处理。</w:t>
      </w:r>
    </w:p>
    <w:p w14:paraId="03A5A912">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本办法涉及的各方对医患双方负有保密义务。未经医患双方同意不得泄露患者隐私。</w:t>
      </w:r>
    </w:p>
    <w:p w14:paraId="6395EB91">
      <w:pPr>
        <w:widowControl/>
        <w:numPr>
          <w:ilvl w:val="2"/>
          <w:numId w:val="6"/>
        </w:numPr>
        <w:spacing w:before="100" w:beforeAutospacing="1" w:after="100" w:afterAutospacing="1"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rPr>
        <w:t>本办法为广东省医疗责任保险的组成部分，由“广东和谐医调委”负责制订、</w:t>
      </w:r>
      <w:r>
        <w:rPr>
          <w:rFonts w:hint="eastAsia" w:ascii="宋体" w:hAnsi="宋体" w:cs="宋体"/>
          <w:color w:val="000000"/>
          <w:sz w:val="21"/>
          <w:szCs w:val="21"/>
          <w:highlight w:val="none"/>
        </w:rPr>
        <w:t>修改、解释。</w:t>
      </w:r>
    </w:p>
    <w:p w14:paraId="7CE94A95">
      <w:pPr>
        <w:keepNext w:val="0"/>
        <w:keepLines w:val="0"/>
        <w:pageBreakBefore w:val="0"/>
        <w:widowControl/>
        <w:numPr>
          <w:ilvl w:val="2"/>
          <w:numId w:val="6"/>
        </w:numPr>
        <w:kinsoku/>
        <w:wordWrap/>
        <w:overflowPunct/>
        <w:topLinePunct w:val="0"/>
        <w:autoSpaceDE/>
        <w:autoSpaceDN/>
        <w:bidi w:val="0"/>
        <w:adjustRightInd/>
        <w:snapToGrid/>
        <w:spacing w:before="100" w:beforeAutospacing="1" w:after="100" w:afterAutospacing="1" w:line="240" w:lineRule="auto"/>
        <w:ind w:left="0" w:leftChars="0" w:right="0" w:rightChars="0" w:firstLine="420" w:firstLineChars="200"/>
        <w:jc w:val="left"/>
        <w:textAlignment w:val="auto"/>
        <w:outlineLvl w:val="9"/>
        <w:rPr>
          <w:sz w:val="24"/>
          <w:szCs w:val="24"/>
          <w:highlight w:val="none"/>
        </w:rPr>
      </w:pPr>
      <w:r>
        <w:rPr>
          <w:rFonts w:hint="eastAsia" w:ascii="宋体" w:hAnsi="宋体" w:cs="宋体"/>
          <w:color w:val="000000"/>
          <w:sz w:val="21"/>
          <w:szCs w:val="21"/>
          <w:highlight w:val="none"/>
        </w:rPr>
        <w:t>本办法自</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日起施行。</w:t>
      </w:r>
    </w:p>
    <w:p w14:paraId="5240E42C">
      <w:pPr>
        <w:pStyle w:val="7"/>
        <w:rPr>
          <w:rFonts w:ascii="Times New Roman" w:hAnsi="Times New Roman"/>
          <w:sz w:val="21"/>
          <w:szCs w:val="21"/>
        </w:rPr>
      </w:pPr>
    </w:p>
    <w:p w14:paraId="21A1C429">
      <w:pPr>
        <w:pStyle w:val="7"/>
        <w:rPr>
          <w:rFonts w:ascii="Times New Roman" w:hAnsi="Times New Roman"/>
          <w:sz w:val="21"/>
          <w:szCs w:val="21"/>
        </w:rPr>
      </w:pPr>
    </w:p>
    <w:p w14:paraId="531F649B">
      <w:pPr>
        <w:pStyle w:val="7"/>
        <w:rPr>
          <w:rFonts w:ascii="Times New Roman" w:hAnsi="Times New Roman"/>
          <w:sz w:val="21"/>
          <w:szCs w:val="21"/>
        </w:rPr>
      </w:pPr>
    </w:p>
    <w:p w14:paraId="17C2B234">
      <w:pPr>
        <w:pStyle w:val="7"/>
        <w:rPr>
          <w:rFonts w:ascii="Times New Roman" w:hAnsi="Times New Roman"/>
          <w:sz w:val="21"/>
          <w:szCs w:val="21"/>
        </w:rPr>
      </w:pPr>
    </w:p>
    <w:p w14:paraId="65DA6517">
      <w:pPr>
        <w:pStyle w:val="7"/>
        <w:rPr>
          <w:rFonts w:ascii="Times New Roman" w:hAnsi="Times New Roman"/>
          <w:sz w:val="21"/>
          <w:szCs w:val="21"/>
        </w:rPr>
      </w:pPr>
    </w:p>
    <w:p w14:paraId="4BA1545B">
      <w:pPr>
        <w:pStyle w:val="7"/>
        <w:rPr>
          <w:rFonts w:ascii="Times New Roman" w:hAnsi="Times New Roman"/>
          <w:sz w:val="21"/>
          <w:szCs w:val="21"/>
        </w:rPr>
      </w:pPr>
    </w:p>
    <w:p w14:paraId="01667B70">
      <w:pPr>
        <w:pStyle w:val="7"/>
        <w:ind w:left="0" w:leftChars="0" w:firstLine="0" w:firstLineChars="0"/>
        <w:rPr>
          <w:rFonts w:ascii="Times New Roman" w:hAnsi="Times New Roman"/>
          <w:sz w:val="21"/>
          <w:szCs w:val="21"/>
        </w:rPr>
      </w:pPr>
    </w:p>
    <w:p w14:paraId="6C350A82">
      <w:pPr>
        <w:jc w:val="center"/>
        <w:rPr>
          <w:rFonts w:hint="eastAsia" w:ascii="宋体" w:hAnsi="宋体" w:eastAsia="宋体" w:cs="Times New Roman"/>
          <w:b/>
          <w:sz w:val="28"/>
          <w:szCs w:val="28"/>
          <w:lang w:val="en-US" w:eastAsia="zh-CN" w:bidi="ar-SA"/>
        </w:rPr>
      </w:pPr>
      <w:r>
        <w:rPr>
          <w:rFonts w:hint="eastAsia" w:ascii="宋体" w:hAnsi="宋体" w:eastAsia="宋体" w:cs="Times New Roman"/>
          <w:b/>
          <w:sz w:val="28"/>
          <w:szCs w:val="28"/>
          <w:lang w:val="en-US" w:eastAsia="zh-CN" w:bidi="ar-SA"/>
        </w:rPr>
        <w:t>附件Ⅲ：保险索赔、理赔处理程序预案</w:t>
      </w:r>
    </w:p>
    <w:p w14:paraId="6A9D2BDE">
      <w:pPr>
        <w:pStyle w:val="31"/>
        <w:numPr>
          <w:ilvl w:val="0"/>
          <w:numId w:val="7"/>
        </w:numPr>
        <w:spacing w:beforeLines="90" w:afterLines="90"/>
        <w:ind w:left="720" w:hanging="720" w:firstLineChars="0"/>
        <w:rPr>
          <w:rFonts w:ascii="宋体" w:hAnsi="宋体"/>
          <w:b/>
          <w:sz w:val="24"/>
          <w:szCs w:val="24"/>
        </w:rPr>
      </w:pPr>
      <w:r>
        <w:rPr>
          <w:rFonts w:hint="eastAsia" w:ascii="宋体" w:hAnsi="宋体"/>
          <w:b/>
          <w:sz w:val="24"/>
          <w:szCs w:val="24"/>
        </w:rPr>
        <w:t>医疗纠纷案件处理流</w:t>
      </w:r>
      <w:r>
        <w:rPr>
          <w:rFonts w:hint="eastAsia" w:ascii="宋体" w:hAnsi="宋体"/>
          <w:b/>
          <w:sz w:val="24"/>
          <w:szCs w:val="24"/>
          <w:lang w:eastAsia="zh-CN"/>
        </w:rPr>
        <w:t>程</w:t>
      </w:r>
    </w:p>
    <w:p w14:paraId="40A1B0BD">
      <w:pPr>
        <w:pStyle w:val="31"/>
        <w:numPr>
          <w:ilvl w:val="0"/>
          <w:numId w:val="0"/>
        </w:numPr>
        <w:spacing w:beforeLines="90" w:afterLines="90"/>
        <w:ind w:leftChars="0"/>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调解</w:t>
      </w:r>
      <w:r>
        <w:rPr>
          <w:rFonts w:hint="eastAsia" w:ascii="宋体" w:hAnsi="宋体"/>
          <w:b/>
          <w:sz w:val="24"/>
          <w:szCs w:val="24"/>
          <w:lang w:eastAsia="zh-CN"/>
        </w:rPr>
        <w:t>案件</w:t>
      </w:r>
      <w:r>
        <w:rPr>
          <w:rFonts w:hint="eastAsia" w:ascii="宋体" w:hAnsi="宋体"/>
          <w:b/>
          <w:sz w:val="24"/>
          <w:szCs w:val="24"/>
        </w:rPr>
        <w:t>处理流程图</w:t>
      </w:r>
    </w:p>
    <w:p w14:paraId="71FE8764">
      <w:pPr>
        <w:pStyle w:val="31"/>
        <w:numPr>
          <w:ilvl w:val="0"/>
          <w:numId w:val="0"/>
        </w:numPr>
        <w:spacing w:beforeLines="90" w:afterLines="90"/>
        <w:ind w:leftChars="0"/>
        <w:rPr>
          <w:rFonts w:hint="eastAsia" w:ascii="宋体" w:hAnsi="宋体"/>
          <w:b/>
          <w:sz w:val="21"/>
          <w:szCs w:val="21"/>
        </w:rPr>
      </w:pPr>
      <w:r>
        <w:rPr>
          <w:rFonts w:hint="eastAsia" w:ascii="宋体" w:hAnsi="宋体"/>
          <w:b/>
          <w:sz w:val="32"/>
          <w:szCs w:val="32"/>
        </w:rPr>
        <mc:AlternateContent>
          <mc:Choice Requires="wpg">
            <w:drawing>
              <wp:anchor distT="0" distB="0" distL="114300" distR="114300" simplePos="0" relativeHeight="251661312" behindDoc="0" locked="0" layoutInCell="1" allowOverlap="1">
                <wp:simplePos x="0" y="0"/>
                <wp:positionH relativeFrom="column">
                  <wp:posOffset>472440</wp:posOffset>
                </wp:positionH>
                <wp:positionV relativeFrom="paragraph">
                  <wp:posOffset>260350</wp:posOffset>
                </wp:positionV>
                <wp:extent cx="4830445" cy="5786755"/>
                <wp:effectExtent l="15875" t="6350" r="30480" b="17145"/>
                <wp:wrapNone/>
                <wp:docPr id="361" name="Group 2"/>
                <wp:cNvGraphicFramePr/>
                <a:graphic xmlns:a="http://schemas.openxmlformats.org/drawingml/2006/main">
                  <a:graphicData uri="http://schemas.microsoft.com/office/word/2010/wordprocessingGroup">
                    <wpg:wgp>
                      <wpg:cNvGrpSpPr/>
                      <wpg:grpSpPr>
                        <a:xfrm>
                          <a:off x="0" y="0"/>
                          <a:ext cx="4830445" cy="5786755"/>
                          <a:chOff x="0" y="0"/>
                          <a:chExt cx="7607" cy="9113"/>
                        </a:xfrm>
                      </wpg:grpSpPr>
                      <wps:wsp>
                        <wps:cNvPr id="362" name="AutoShape 3"/>
                        <wps:cNvCnPr/>
                        <wps:spPr>
                          <a:xfrm rot="-5400000" flipH="1">
                            <a:off x="3398" y="6572"/>
                            <a:ext cx="1204" cy="113"/>
                          </a:xfrm>
                          <a:prstGeom prst="bentConnector3">
                            <a:avLst>
                              <a:gd name="adj1" fmla="val 50000"/>
                            </a:avLst>
                          </a:prstGeom>
                          <a:ln w="15875" cap="flat" cmpd="sng">
                            <a:solidFill>
                              <a:srgbClr val="000000"/>
                            </a:solidFill>
                            <a:prstDash val="solid"/>
                            <a:miter/>
                            <a:headEnd type="none" w="med" len="med"/>
                            <a:tailEnd type="triangle" w="med" len="med"/>
                          </a:ln>
                        </wps:spPr>
                        <wps:bodyPr/>
                      </wps:wsp>
                      <wpg:grpSp>
                        <wpg:cNvPr id="363" name="Group 4"/>
                        <wpg:cNvGrpSpPr/>
                        <wpg:grpSpPr>
                          <a:xfrm>
                            <a:off x="0" y="0"/>
                            <a:ext cx="7607" cy="9113"/>
                            <a:chOff x="0" y="0"/>
                            <a:chExt cx="7607" cy="9113"/>
                          </a:xfrm>
                        </wpg:grpSpPr>
                        <wpg:grpSp>
                          <wpg:cNvPr id="364" name="Group 5"/>
                          <wpg:cNvGrpSpPr/>
                          <wpg:grpSpPr>
                            <a:xfrm>
                              <a:off x="0" y="0"/>
                              <a:ext cx="7607" cy="9113"/>
                              <a:chOff x="0" y="0"/>
                              <a:chExt cx="7607" cy="9113"/>
                            </a:xfrm>
                          </wpg:grpSpPr>
                          <wpg:grpSp>
                            <wpg:cNvPr id="365" name="Group 6"/>
                            <wpg:cNvGrpSpPr/>
                            <wpg:grpSpPr>
                              <a:xfrm>
                                <a:off x="15" y="0"/>
                                <a:ext cx="7275" cy="6050"/>
                                <a:chOff x="0" y="0"/>
                                <a:chExt cx="7275" cy="6050"/>
                              </a:xfrm>
                            </wpg:grpSpPr>
                            <wps:wsp>
                              <wps:cNvPr id="366" name="AutoShape 7"/>
                              <wps:cNvSpPr/>
                              <wps:spPr>
                                <a:xfrm>
                                  <a:off x="4065" y="0"/>
                                  <a:ext cx="3210" cy="105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3770BD48">
                                    <w:pPr>
                                      <w:rPr>
                                        <w:b/>
                                      </w:rPr>
                                    </w:pPr>
                                    <w:r>
                                      <w:rPr>
                                        <w:rFonts w:hint="eastAsia"/>
                                        <w:b/>
                                      </w:rPr>
                                      <w:t>报案内容：就诊时间、事件发生时间、大致诊疗过程、患者最终状态、投诉事件、患者诉求等</w:t>
                                    </w:r>
                                  </w:p>
                                </w:txbxContent>
                              </wps:txbx>
                              <wps:bodyPr vert="horz" anchor="t" upright="1"/>
                            </wps:wsp>
                            <wpg:grpSp>
                              <wpg:cNvPr id="367" name="Group 8"/>
                              <wpg:cNvGrpSpPr/>
                              <wpg:grpSpPr>
                                <a:xfrm>
                                  <a:off x="0" y="167"/>
                                  <a:ext cx="4859" cy="5883"/>
                                  <a:chOff x="0" y="0"/>
                                  <a:chExt cx="4859" cy="5883"/>
                                </a:xfrm>
                              </wpg:grpSpPr>
                              <wps:wsp>
                                <wps:cNvPr id="368" name="AutoShape 9"/>
                                <wps:cNvSpPr/>
                                <wps:spPr>
                                  <a:xfrm>
                                    <a:off x="1860" y="0"/>
                                    <a:ext cx="1417"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0BABE93F">
                                      <w:pPr>
                                        <w:jc w:val="center"/>
                                      </w:pPr>
                                      <w:r>
                                        <w:rPr>
                                          <w:rFonts w:hint="eastAsia"/>
                                        </w:rPr>
                                        <w:t>纠纷报案</w:t>
                                      </w:r>
                                    </w:p>
                                  </w:txbxContent>
                                </wps:txbx>
                                <wps:bodyPr vert="horz" anchor="t" upright="1"/>
                              </wps:wsp>
                              <wps:wsp>
                                <wps:cNvPr id="369" name="AutoShape 10"/>
                                <wps:cNvSpPr/>
                                <wps:spPr>
                                  <a:xfrm>
                                    <a:off x="585" y="2707"/>
                                    <a:ext cx="3969" cy="1477"/>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103F4D4C">
                                      <w:pPr>
                                        <w:rPr>
                                          <w:b/>
                                        </w:rPr>
                                      </w:pPr>
                                      <w:r>
                                        <w:rPr>
                                          <w:rFonts w:hint="eastAsia"/>
                                          <w:b/>
                                          <w:lang w:eastAsia="zh-CN"/>
                                        </w:rPr>
                                        <w:t>专家</w:t>
                                      </w:r>
                                      <w:r>
                                        <w:rPr>
                                          <w:rFonts w:hint="eastAsia"/>
                                          <w:b/>
                                        </w:rPr>
                                        <w:t>分析：是否存在过错及过错类型？</w:t>
                                      </w:r>
                                    </w:p>
                                    <w:p w14:paraId="1439F3A2">
                                      <w:pPr>
                                        <w:rPr>
                                          <w:b/>
                                        </w:rPr>
                                      </w:pPr>
                                      <w:r>
                                        <w:rPr>
                                          <w:rFonts w:hint="eastAsia"/>
                                        </w:rPr>
                                        <w:t xml:space="preserve">          </w:t>
                                      </w:r>
                                      <w:r>
                                        <w:rPr>
                                          <w:rFonts w:hint="eastAsia"/>
                                          <w:b/>
                                        </w:rPr>
                                        <w:t>是否违反诊疗常规？</w:t>
                                      </w:r>
                                    </w:p>
                                    <w:p w14:paraId="312A813C">
                                      <w:pPr>
                                        <w:rPr>
                                          <w:b/>
                                        </w:rPr>
                                      </w:pPr>
                                      <w:r>
                                        <w:rPr>
                                          <w:rFonts w:hint="eastAsia"/>
                                          <w:b/>
                                        </w:rPr>
                                        <w:t xml:space="preserve">          损害金额？</w:t>
                                      </w:r>
                                    </w:p>
                                    <w:p w14:paraId="6CEDAE10">
                                      <w:pPr>
                                        <w:rPr>
                                          <w:rFonts w:hint="eastAsia" w:eastAsia="宋体"/>
                                          <w:b/>
                                          <w:lang w:eastAsia="zh-CN"/>
                                        </w:rPr>
                                      </w:pPr>
                                      <w:r>
                                        <w:rPr>
                                          <w:rFonts w:hint="eastAsia"/>
                                          <w:b/>
                                        </w:rPr>
                                        <w:t xml:space="preserve">          处理建议</w:t>
                                      </w:r>
                                      <w:r>
                                        <w:rPr>
                                          <w:rFonts w:hint="eastAsia"/>
                                          <w:b/>
                                          <w:lang w:eastAsia="zh-CN"/>
                                        </w:rPr>
                                        <w:t>？</w:t>
                                      </w:r>
                                    </w:p>
                                  </w:txbxContent>
                                </wps:txbx>
                                <wps:bodyPr vert="horz" anchor="t" upright="1"/>
                              </wps:wsp>
                              <wps:wsp>
                                <wps:cNvPr id="370" name="AutoShape 11"/>
                                <wps:cNvSpPr/>
                                <wps:spPr>
                                  <a:xfrm>
                                    <a:off x="106" y="1017"/>
                                    <a:ext cx="1922" cy="515"/>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604781FC">
                                      <w:pPr>
                                        <w:jc w:val="center"/>
                                      </w:pPr>
                                      <w:r>
                                        <w:rPr>
                                          <w:rFonts w:hint="eastAsia"/>
                                        </w:rPr>
                                        <w:t>广东</w:t>
                                      </w:r>
                                      <w:r>
                                        <w:rPr>
                                          <w:rFonts w:hint="eastAsia"/>
                                          <w:lang w:eastAsia="zh-CN"/>
                                        </w:rPr>
                                        <w:t>和谐</w:t>
                                      </w:r>
                                      <w:r>
                                        <w:rPr>
                                          <w:rFonts w:hint="eastAsia"/>
                                        </w:rPr>
                                        <w:t>医调委</w:t>
                                      </w:r>
                                    </w:p>
                                  </w:txbxContent>
                                </wps:txbx>
                                <wps:bodyPr vert="horz" anchor="t" upright="1"/>
                              </wps:wsp>
                              <wps:wsp>
                                <wps:cNvPr id="371" name="AutoShape 12"/>
                                <wps:cNvSpPr/>
                                <wps:spPr>
                                  <a:xfrm>
                                    <a:off x="3180" y="1050"/>
                                    <a:ext cx="1644"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808BA74">
                                      <w:pPr>
                                        <w:jc w:val="center"/>
                                      </w:pPr>
                                      <w:r>
                                        <w:rPr>
                                          <w:rFonts w:hint="eastAsia"/>
                                          <w:lang w:val="en-US" w:eastAsia="zh-CN"/>
                                        </w:rPr>
                                        <w:t>保险</w:t>
                                      </w:r>
                                      <w:r>
                                        <w:rPr>
                                          <w:rFonts w:hint="eastAsia"/>
                                        </w:rPr>
                                        <w:t>经纪公司</w:t>
                                      </w:r>
                                    </w:p>
                                  </w:txbxContent>
                                </wps:txbx>
                                <wps:bodyPr vert="horz" anchor="t" upright="1"/>
                              </wps:wsp>
                              <wps:wsp>
                                <wps:cNvPr id="372" name="AutoShape 13"/>
                                <wps:cNvCnPr>
                                  <a:stCxn id="87" idx="2"/>
                                  <a:endCxn id="89" idx="0"/>
                                </wps:cNvCnPr>
                                <wps:spPr>
                                  <a:xfrm rot="5400000">
                                    <a:off x="1559" y="7"/>
                                    <a:ext cx="518" cy="1502"/>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73" name="AutoShape 14"/>
                                <wps:cNvCnPr>
                                  <a:stCxn id="87" idx="2"/>
                                  <a:endCxn id="90" idx="0"/>
                                </wps:cNvCnPr>
                                <wps:spPr>
                                  <a:xfrm rot="-5400000" flipH="1">
                                    <a:off x="2944" y="77"/>
                                    <a:ext cx="551" cy="1348"/>
                                  </a:xfrm>
                                  <a:prstGeom prst="bentConnector3">
                                    <a:avLst>
                                      <a:gd name="adj1" fmla="val 49907"/>
                                    </a:avLst>
                                  </a:prstGeom>
                                  <a:ln w="9525" cap="flat" cmpd="sng">
                                    <a:solidFill>
                                      <a:srgbClr val="000000"/>
                                    </a:solidFill>
                                    <a:prstDash val="solid"/>
                                    <a:miter/>
                                    <a:headEnd type="none" w="med" len="med"/>
                                    <a:tailEnd type="triangle" w="med" len="med"/>
                                  </a:ln>
                                </wps:spPr>
                                <wps:bodyPr/>
                              </wps:wsp>
                              <wps:wsp>
                                <wps:cNvPr id="374" name="AutoShape 15"/>
                                <wps:cNvCnPr>
                                  <a:stCxn id="90" idx="1"/>
                                </wps:cNvCnPr>
                                <wps:spPr>
                                  <a:xfrm flipH="1">
                                    <a:off x="1954" y="1300"/>
                                    <a:ext cx="1226" cy="1"/>
                                  </a:xfrm>
                                  <a:prstGeom prst="straightConnector1">
                                    <a:avLst/>
                                  </a:prstGeom>
                                  <a:ln w="9525" cap="flat" cmpd="sng">
                                    <a:solidFill>
                                      <a:srgbClr val="000000"/>
                                    </a:solidFill>
                                    <a:prstDash val="solid"/>
                                    <a:headEnd type="none" w="med" len="med"/>
                                    <a:tailEnd type="triangle" w="med" len="med"/>
                                  </a:ln>
                                </wps:spPr>
                                <wps:bodyPr/>
                              </wps:wsp>
                              <wps:wsp>
                                <wps:cNvPr id="375" name="AutoShape 16"/>
                                <wps:cNvCnPr>
                                  <a:stCxn id="89" idx="2"/>
                                  <a:endCxn id="88" idx="0"/>
                                </wps:cNvCnPr>
                                <wps:spPr>
                                  <a:xfrm rot="5400000" flipV="1">
                                    <a:off x="1231" y="1368"/>
                                    <a:ext cx="1175" cy="1503"/>
                                  </a:xfrm>
                                  <a:prstGeom prst="bentConnector3">
                                    <a:avLst>
                                      <a:gd name="adj1" fmla="val 50043"/>
                                    </a:avLst>
                                  </a:prstGeom>
                                  <a:ln w="9525" cap="flat" cmpd="sng">
                                    <a:solidFill>
                                      <a:srgbClr val="000000"/>
                                    </a:solidFill>
                                    <a:prstDash val="solid"/>
                                    <a:miter/>
                                    <a:headEnd type="none" w="med" len="med"/>
                                    <a:tailEnd type="triangle" w="med" len="med"/>
                                  </a:ln>
                                </wps:spPr>
                                <wps:bodyPr/>
                              </wps:wsp>
                              <wps:wsp>
                                <wps:cNvPr id="376" name="AutoShape 17"/>
                                <wps:cNvSpPr/>
                                <wps:spPr>
                                  <a:xfrm>
                                    <a:off x="1860" y="1800"/>
                                    <a:ext cx="1417"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262B99E">
                                      <w:pPr>
                                        <w:jc w:val="center"/>
                                      </w:pPr>
                                      <w:r>
                                        <w:rPr>
                                          <w:rFonts w:hint="eastAsia"/>
                                        </w:rPr>
                                        <w:t>调查取证</w:t>
                                      </w:r>
                                    </w:p>
                                  </w:txbxContent>
                                </wps:txbx>
                                <wps:bodyPr vert="horz" anchor="t" upright="1"/>
                              </wps:wsp>
                              <wps:wsp>
                                <wps:cNvPr id="377" name="AutoShape 18"/>
                                <wps:cNvSpPr/>
                                <wps:spPr>
                                  <a:xfrm>
                                    <a:off x="3045" y="5373"/>
                                    <a:ext cx="1814"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70D17E9">
                                      <w:pPr>
                                        <w:jc w:val="center"/>
                                      </w:pPr>
                                      <w:r>
                                        <w:rPr>
                                          <w:rFonts w:hint="eastAsia"/>
                                        </w:rPr>
                                        <w:t>医患双方不同意</w:t>
                                      </w:r>
                                    </w:p>
                                  </w:txbxContent>
                                </wps:txbx>
                                <wps:bodyPr vert="horz" anchor="t" upright="1"/>
                              </wps:wsp>
                              <wps:wsp>
                                <wps:cNvPr id="378" name="AutoShape 19"/>
                                <wps:cNvSpPr/>
                                <wps:spPr>
                                  <a:xfrm>
                                    <a:off x="0" y="537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6171C7DF">
                                      <w:pPr>
                                        <w:jc w:val="center"/>
                                      </w:pPr>
                                      <w:r>
                                        <w:rPr>
                                          <w:rFonts w:hint="eastAsia"/>
                                        </w:rPr>
                                        <w:t>医患双方同意</w:t>
                                      </w:r>
                                    </w:p>
                                  </w:txbxContent>
                                </wps:txbx>
                                <wps:bodyPr vert="horz" anchor="t" upright="1"/>
                              </wps:wsp>
                              <wps:wsp>
                                <wps:cNvPr id="379" name="AutoShape 20"/>
                                <wps:cNvCnPr>
                                  <a:stCxn id="88" idx="2"/>
                                  <a:endCxn id="97" idx="0"/>
                                </wps:cNvCnPr>
                                <wps:spPr>
                                  <a:xfrm rot="5400000">
                                    <a:off x="1116" y="3919"/>
                                    <a:ext cx="1189" cy="1719"/>
                                  </a:xfrm>
                                  <a:prstGeom prst="bentConnector3">
                                    <a:avLst>
                                      <a:gd name="adj1" fmla="val 50042"/>
                                    </a:avLst>
                                  </a:prstGeom>
                                  <a:ln w="9525" cap="flat" cmpd="sng">
                                    <a:solidFill>
                                      <a:srgbClr val="000000"/>
                                    </a:solidFill>
                                    <a:prstDash val="solid"/>
                                    <a:miter/>
                                    <a:headEnd type="none" w="med" len="med"/>
                                    <a:tailEnd type="triangle" w="med" len="med"/>
                                  </a:ln>
                                </wps:spPr>
                                <wps:bodyPr/>
                              </wps:wsp>
                              <wps:wsp>
                                <wps:cNvPr id="380" name="AutoShape 21"/>
                                <wps:cNvCnPr>
                                  <a:stCxn id="88" idx="2"/>
                                  <a:endCxn id="96" idx="0"/>
                                </wps:cNvCnPr>
                                <wps:spPr>
                                  <a:xfrm rot="5400000" flipV="1">
                                    <a:off x="2667" y="4088"/>
                                    <a:ext cx="1189" cy="1382"/>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81" name="AutoShape 22"/>
                                <wps:cNvSpPr/>
                                <wps:spPr>
                                  <a:xfrm>
                                    <a:off x="1740" y="468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76E878A">
                                      <w:pPr>
                                        <w:jc w:val="center"/>
                                      </w:pPr>
                                      <w:r>
                                        <w:rPr>
                                          <w:rFonts w:hint="eastAsia"/>
                                        </w:rPr>
                                        <w:t>进入调解程序</w:t>
                                      </w:r>
                                    </w:p>
                                  </w:txbxContent>
                                </wps:txbx>
                                <wps:bodyPr vert="horz" anchor="t" upright="1"/>
                              </wps:wsp>
                            </wpg:grpSp>
                          </wpg:grpSp>
                          <wps:wsp>
                            <wps:cNvPr id="382" name="AutoShape 23"/>
                            <wps:cNvSpPr/>
                            <wps:spPr>
                              <a:xfrm>
                                <a:off x="0" y="860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047516B6">
                                  <w:pPr>
                                    <w:ind w:firstLine="105" w:firstLineChars="50"/>
                                    <w:jc w:val="center"/>
                                  </w:pPr>
                                  <w:r>
                                    <w:rPr>
                                      <w:rFonts w:hint="eastAsia"/>
                                    </w:rPr>
                                    <w:t>支付给患方</w:t>
                                  </w:r>
                                </w:p>
                              </w:txbxContent>
                            </wps:txbx>
                            <wps:bodyPr vert="horz" anchor="t" upright="1"/>
                          </wps:wsp>
                          <wps:wsp>
                            <wps:cNvPr id="383" name="AutoShape 24"/>
                            <wps:cNvSpPr/>
                            <wps:spPr>
                              <a:xfrm>
                                <a:off x="3092" y="8601"/>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2F53C72">
                                  <w:r>
                                    <w:rPr>
                                      <w:rFonts w:hint="eastAsia"/>
                                    </w:rPr>
                                    <w:t>或支付给医院</w:t>
                                  </w:r>
                                </w:p>
                              </w:txbxContent>
                            </wps:txbx>
                            <wps:bodyPr vert="horz" anchor="t" upright="1"/>
                          </wps:wsp>
                          <wps:wsp>
                            <wps:cNvPr id="384" name="AutoShape 25"/>
                            <wps:cNvSpPr/>
                            <wps:spPr>
                              <a:xfrm>
                                <a:off x="5623" y="5571"/>
                                <a:ext cx="1984"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76D8BC3">
                                  <w:pPr>
                                    <w:ind w:firstLine="105" w:firstLineChars="50"/>
                                    <w:jc w:val="center"/>
                                  </w:pPr>
                                  <w:r>
                                    <w:rPr>
                                      <w:rFonts w:hint="eastAsia"/>
                                    </w:rPr>
                                    <w:t>引导走诉讼</w:t>
                                  </w:r>
                                </w:p>
                              </w:txbxContent>
                            </wps:txbx>
                            <wps:bodyPr vert="horz" anchor="t" upright="1"/>
                          </wps:wsp>
                          <wps:wsp>
                            <wps:cNvPr id="385" name="AutoShape 26"/>
                            <wps:cNvSpPr/>
                            <wps:spPr>
                              <a:xfrm>
                                <a:off x="3028" y="7254"/>
                                <a:ext cx="1928"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E8E11B4">
                                  <w:pPr>
                                    <w:ind w:firstLine="105" w:firstLineChars="50"/>
                                    <w:jc w:val="center"/>
                                  </w:pPr>
                                  <w:r>
                                    <w:rPr>
                                      <w:rFonts w:hint="eastAsia"/>
                                    </w:rPr>
                                    <w:t>再进入调解程序</w:t>
                                  </w:r>
                                </w:p>
                              </w:txbxContent>
                            </wps:txbx>
                            <wps:bodyPr vert="horz" anchor="t" upright="1"/>
                          </wps:wsp>
                          <wps:wsp>
                            <wps:cNvPr id="386" name="AutoShape 27"/>
                            <wps:cNvSpPr/>
                            <wps:spPr>
                              <a:xfrm>
                                <a:off x="5621" y="7254"/>
                                <a:ext cx="1984"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38EEBBD">
                                  <w:pPr>
                                    <w:ind w:firstLine="105" w:firstLineChars="50"/>
                                  </w:pPr>
                                  <w:r>
                                    <w:rPr>
                                      <w:rFonts w:hint="eastAsia"/>
                                    </w:rPr>
                                    <w:t>医患双方不同意</w:t>
                                  </w:r>
                                </w:p>
                              </w:txbxContent>
                            </wps:txbx>
                            <wps:bodyPr vert="horz" anchor="t" upright="1"/>
                          </wps:wsp>
                          <wps:wsp>
                            <wps:cNvPr id="387" name="AutoShape 28"/>
                            <wps:cNvSpPr/>
                            <wps:spPr>
                              <a:xfrm>
                                <a:off x="13" y="7554"/>
                                <a:ext cx="1701" cy="51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342FDE7C">
                                  <w:pPr>
                                    <w:ind w:firstLine="105" w:firstLineChars="50"/>
                                    <w:jc w:val="center"/>
                                    <w:rPr>
                                      <w:b/>
                                    </w:rPr>
                                  </w:pPr>
                                  <w:r>
                                    <w:rPr>
                                      <w:rFonts w:hint="eastAsia"/>
                                      <w:b/>
                                    </w:rPr>
                                    <w:t>认定保险责任</w:t>
                                  </w:r>
                                </w:p>
                              </w:txbxContent>
                            </wps:txbx>
                            <wps:bodyPr vert="horz" anchor="t" upright="1"/>
                          </wps:wsp>
                          <wps:wsp>
                            <wps:cNvPr id="388" name="AutoShape 29"/>
                            <wps:cNvCnPr>
                              <a:stCxn id="97" idx="2"/>
                              <a:endCxn id="108" idx="0"/>
                            </wps:cNvCnPr>
                            <wps:spPr>
                              <a:xfrm rot="5400000">
                                <a:off x="102" y="6765"/>
                                <a:ext cx="1479" cy="2"/>
                              </a:xfrm>
                              <a:prstGeom prst="bentConnector3">
                                <a:avLst>
                                  <a:gd name="adj1" fmla="val 50847"/>
                                </a:avLst>
                              </a:prstGeom>
                              <a:ln w="9525" cap="flat" cmpd="sng">
                                <a:solidFill>
                                  <a:srgbClr val="000000"/>
                                </a:solidFill>
                                <a:prstDash val="solid"/>
                                <a:miter/>
                                <a:headEnd type="none" w="med" len="med"/>
                                <a:tailEnd type="triangle" w="med" len="med"/>
                              </a:ln>
                            </wps:spPr>
                            <wps:bodyPr/>
                          </wps:wsp>
                          <wps:wsp>
                            <wps:cNvPr id="389" name="AutoShape 30"/>
                            <wps:cNvSpPr/>
                            <wps:spPr>
                              <a:xfrm>
                                <a:off x="17" y="6606"/>
                                <a:ext cx="1926"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F7FF225">
                                  <w:pPr>
                                    <w:rPr>
                                      <w:rFonts w:hint="eastAsia" w:eastAsia="宋体"/>
                                      <w:lang w:eastAsia="zh-CN"/>
                                    </w:rPr>
                                  </w:pPr>
                                  <w:r>
                                    <w:rPr>
                                      <w:rFonts w:hint="eastAsia"/>
                                      <w:lang w:eastAsia="zh-CN"/>
                                    </w:rPr>
                                    <w:t>提交保险人索赔</w:t>
                                  </w:r>
                                </w:p>
                              </w:txbxContent>
                            </wps:txbx>
                            <wps:bodyPr vert="horz" anchor="t" upright="1"/>
                          </wps:wsp>
                          <wps:wsp>
                            <wps:cNvPr id="390" name="AutoShape 31"/>
                            <wps:cNvSpPr/>
                            <wps:spPr>
                              <a:xfrm>
                                <a:off x="3253" y="6351"/>
                                <a:ext cx="1474" cy="51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7812D51B">
                                  <w:pPr>
                                    <w:ind w:firstLine="105" w:firstLineChars="50"/>
                                    <w:jc w:val="center"/>
                                    <w:rPr>
                                      <w:rFonts w:hint="eastAsia" w:eastAsia="宋体"/>
                                      <w:b/>
                                      <w:lang w:eastAsia="zh-CN"/>
                                    </w:rPr>
                                  </w:pPr>
                                  <w:r>
                                    <w:rPr>
                                      <w:rFonts w:hint="eastAsia"/>
                                      <w:b/>
                                      <w:lang w:eastAsia="zh-CN"/>
                                    </w:rPr>
                                    <w:t>引导鉴定</w:t>
                                  </w:r>
                                </w:p>
                              </w:txbxContent>
                            </wps:txbx>
                            <wps:bodyPr vert="horz" anchor="t" upright="1"/>
                          </wps:wsp>
                          <wps:wsp>
                            <wps:cNvPr id="391" name="AutoShape 32"/>
                            <wps:cNvCnPr>
                              <a:stCxn id="96" idx="3"/>
                              <a:endCxn id="105" idx="1"/>
                            </wps:cNvCnPr>
                            <wps:spPr>
                              <a:xfrm>
                                <a:off x="4874" y="5795"/>
                                <a:ext cx="749" cy="31"/>
                              </a:xfrm>
                              <a:prstGeom prst="bentConnector3">
                                <a:avLst>
                                  <a:gd name="adj1" fmla="val 49935"/>
                                </a:avLst>
                              </a:prstGeom>
                              <a:ln w="9525" cap="flat" cmpd="sng">
                                <a:solidFill>
                                  <a:srgbClr val="000000"/>
                                </a:solidFill>
                                <a:prstDash val="solid"/>
                                <a:miter/>
                                <a:headEnd type="none" w="med" len="med"/>
                                <a:tailEnd type="triangle" w="med" len="med"/>
                              </a:ln>
                            </wps:spPr>
                            <wps:bodyPr/>
                          </wps:wsp>
                          <wps:wsp>
                            <wps:cNvPr id="392" name="AutoShape 33"/>
                            <wps:cNvCnPr>
                              <a:stCxn id="106" idx="3"/>
                              <a:endCxn id="107" idx="1"/>
                            </wps:cNvCnPr>
                            <wps:spPr>
                              <a:xfrm>
                                <a:off x="4956" y="7509"/>
                                <a:ext cx="665" cy="1"/>
                              </a:xfrm>
                              <a:prstGeom prst="straightConnector1">
                                <a:avLst/>
                              </a:prstGeom>
                              <a:ln w="9525" cap="flat" cmpd="sng">
                                <a:solidFill>
                                  <a:srgbClr val="000000"/>
                                </a:solidFill>
                                <a:prstDash val="solid"/>
                                <a:headEnd type="none" w="med" len="med"/>
                                <a:tailEnd type="triangle" w="med" len="med"/>
                              </a:ln>
                            </wps:spPr>
                            <wps:bodyPr/>
                          </wps:wsp>
                          <wps:wsp>
                            <wps:cNvPr id="393" name="AutoShape 34"/>
                            <wps:cNvCnPr>
                              <a:stCxn id="107" idx="0"/>
                              <a:endCxn id="105" idx="2"/>
                            </wps:cNvCnPr>
                            <wps:spPr>
                              <a:xfrm rot="-5400000">
                                <a:off x="6004" y="6643"/>
                                <a:ext cx="1173" cy="2"/>
                              </a:xfrm>
                              <a:prstGeom prst="bentConnector3">
                                <a:avLst>
                                  <a:gd name="adj1" fmla="val 49958"/>
                                </a:avLst>
                              </a:prstGeom>
                              <a:ln w="9525" cap="flat" cmpd="sng">
                                <a:solidFill>
                                  <a:srgbClr val="000000"/>
                                </a:solidFill>
                                <a:prstDash val="solid"/>
                                <a:miter/>
                                <a:headEnd type="none" w="med" len="med"/>
                                <a:tailEnd type="triangle" w="med" len="med"/>
                              </a:ln>
                            </wps:spPr>
                            <wps:bodyPr/>
                          </wps:wsp>
                          <wps:wsp>
                            <wps:cNvPr id="394" name="AutoShape 35"/>
                            <wps:cNvCnPr>
                              <a:stCxn id="106" idx="1"/>
                              <a:endCxn id="97" idx="3"/>
                            </wps:cNvCnPr>
                            <wps:spPr>
                              <a:xfrm rot="10800000">
                                <a:off x="1716" y="5795"/>
                                <a:ext cx="1312" cy="1714"/>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395" name="AutoShape 36"/>
                            <wps:cNvCnPr>
                              <a:stCxn id="108" idx="2"/>
                              <a:endCxn id="104" idx="0"/>
                            </wps:cNvCnPr>
                            <wps:spPr>
                              <a:xfrm rot="-5400000" flipH="1">
                                <a:off x="2124" y="6782"/>
                                <a:ext cx="512" cy="3079"/>
                              </a:xfrm>
                              <a:prstGeom prst="bentConnector3">
                                <a:avLst>
                                  <a:gd name="adj1" fmla="val 47463"/>
                                </a:avLst>
                              </a:prstGeom>
                              <a:ln w="9525" cap="flat" cmpd="sng">
                                <a:solidFill>
                                  <a:srgbClr val="000000"/>
                                </a:solidFill>
                                <a:prstDash val="solid"/>
                                <a:miter/>
                                <a:headEnd type="none" w="med" len="med"/>
                                <a:tailEnd type="triangle" w="med" len="med"/>
                              </a:ln>
                            </wps:spPr>
                            <wps:bodyPr/>
                          </wps:wsp>
                        </wpg:grpSp>
                        <wps:wsp>
                          <wps:cNvPr id="396" name="AutoShape 37"/>
                          <wps:cNvCnPr/>
                          <wps:spPr>
                            <a:xfrm rot="5400000">
                              <a:off x="609" y="8346"/>
                              <a:ext cx="514" cy="0"/>
                            </a:xfrm>
                            <a:prstGeom prst="straightConnector1">
                              <a:avLst/>
                            </a:prstGeom>
                            <a:ln w="12700" cap="flat" cmpd="sng">
                              <a:solidFill>
                                <a:srgbClr val="000000"/>
                              </a:solidFill>
                              <a:prstDash val="dash"/>
                              <a:headEnd type="none" w="med" len="med"/>
                              <a:tailEnd type="triangle" w="med" len="med"/>
                            </a:ln>
                          </wps:spPr>
                          <wps:bodyPr/>
                        </wps:wsp>
                      </wpg:grpSp>
                    </wpg:wgp>
                  </a:graphicData>
                </a:graphic>
              </wp:anchor>
            </w:drawing>
          </mc:Choice>
          <mc:Fallback>
            <w:pict>
              <v:group id="Group 2" o:spid="_x0000_s1026" o:spt="203" style="position:absolute;left:0pt;margin-left:37.2pt;margin-top:20.5pt;height:455.65pt;width:380.35pt;z-index:251661312;mso-width-relative:page;mso-height-relative:page;" coordsize="7607,9113" o:gfxdata="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">
                <o:lock v:ext="edit" aspectratio="f"/>
                <v:shape id="AutoShape 3" o:spid="_x0000_s1026" o:spt="34" type="#_x0000_t34" style="position:absolute;left:3398;top:6572;flip:x;height:113;width:1204;rotation:5898240f;" filled="f" stroked="t" coordsize="21600,21600" o:gfxdata="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v54evQAA&#10;ANwAAAAPAAAAAAAAAAEAIAAAACIAAABkcnMvZG93bnJldi54bWxQSwECFAAUAAAACACHTuJAMy8F&#10;njsAAAA5AAAAEAAAAAAAAAABACAAAAAMAQAAZHJzL3NoYXBleG1sLnhtbFBLBQYAAAAABgAGAFsB&#10;AAC2AwAAAAA=&#10;" adj="10800">
                  <v:fill on="f" focussize="0,0"/>
                  <v:stroke weight="1.25pt" color="#000000" joinstyle="miter" endarrow="block"/>
                  <v:imagedata o:title=""/>
                  <o:lock v:ext="edit" aspectratio="f"/>
                </v:shape>
                <v:group id="Group 4" o:spid="_x0000_s1026" o:spt="203" style="position:absolute;left:0;top:0;height:9113;width:7607;" coordsize="7607,9113" o:gfxdata="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NU4jnvwAAANwAAAAPAAAAAAAAAAEAIAAAACIAAABkcnMvZG93bnJldi54&#10;bWxQSwECFAAUAAAACACHTuJAMy8FnjsAAAA5AAAAFQAAAAAAAAABACAAAAAOAQAAZHJzL2dyb3Vw&#10;c2hhcGV4bWwueG1sUEsFBgAAAAAGAAYAYAEAAMsDAAAAAA==&#10;">
                  <o:lock v:ext="edit" aspectratio="f"/>
                  <v:group id="Group 5" o:spid="_x0000_s1026" o:spt="203" style="position:absolute;left:0;top:0;height:9113;width:7607;" coordsize="7607,9113" o:gfxdata="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roQk8AAAADcAAAADwAAAAAAAAABACAAAAAiAAAAZHJzL2Rvd25yZXYu&#10;eG1sUEsBAhQAFAAAAAgAh07iQDMvBZ47AAAAOQAAABUAAAAAAAAAAQAgAAAADwEAAGRycy9ncm91&#10;cHNoYXBleG1sLnhtbFBLBQYAAAAABgAGAGABAADMAwAAAAA=&#10;">
                    <o:lock v:ext="edit" aspectratio="f"/>
                    <v:group id="Group 6" o:spid="_x0000_s1026" o:spt="203" style="position:absolute;left:15;top:0;height:6050;width:7275;" coordsize="7275,6050" o:gfxdata="UEsDBAoAAAAAAIdO4kAAAAAAAAAAAAAAAAAEAAAAZHJzL1BLAwQUAAAACACHTuJA7fa1CM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F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fa1CMAAAADcAAAADwAAAAAAAAABACAAAAAiAAAAZHJzL2Rvd25yZXYu&#10;eG1sUEsBAhQAFAAAAAgAh07iQDMvBZ47AAAAOQAAABUAAAAAAAAAAQAgAAAADwEAAGRycy9ncm91&#10;cHNoYXBleG1sLnhtbFBLBQYAAAAABgAGAGABAADMAwAAAAA=&#10;">
                      <o:lock v:ext="edit" aspectratio="f"/>
                      <v:shape id="AutoShape 7" o:spid="_x0000_s1026" o:spt="109" type="#_x0000_t109" style="position:absolute;left:4065;top:0;height:1050;width:3210;" fillcolor="#FFFFFF" filled="t" stroked="t" coordsize="21600,21600" o:gfxdata="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Sa/yvQAA&#10;ANwAAAAPAAAAAAAAAAEAIAAAACIAAABkcnMvZG93bnJldi54bWxQSwECFAAUAAAACACHTuJAMy8F&#10;njsAAAA5AAAAEAAAAAAAAAABACAAAAAMAQAAZHJzL3NoYXBleG1sLnhtbFBLBQYAAAAABgAGAFsB&#10;AAC2AwAAAAA=&#10;">
                        <v:fill on="t" focussize="0,0"/>
                        <v:stroke weight="1pt" color="#000000" joinstyle="miter" dashstyle="dash"/>
                        <v:imagedata o:title=""/>
                        <o:lock v:ext="edit" aspectratio="f"/>
                        <v:textbox>
                          <w:txbxContent>
                            <w:p w14:paraId="3770BD48">
                              <w:pPr>
                                <w:rPr>
                                  <w:b/>
                                </w:rPr>
                              </w:pPr>
                              <w:r>
                                <w:rPr>
                                  <w:rFonts w:hint="eastAsia"/>
                                  <w:b/>
                                </w:rPr>
                                <w:t>报案内容：就诊时间、事件发生时间、大致诊疗过程、患者最终状态、投诉事件、患者诉求等</w:t>
                              </w:r>
                            </w:p>
                          </w:txbxContent>
                        </v:textbox>
                      </v:shape>
                      <v:group id="Group 8" o:spid="_x0000_s1026" o:spt="203" style="position:absolute;left:0;top:167;height:5883;width:4859;" coordsize="4859,5883" o:gfxdata="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miO5MAAAADcAAAADwAAAAAAAAABACAAAAAiAAAAZHJzL2Rvd25yZXYu&#10;eG1sUEsBAhQAFAAAAAgAh07iQDMvBZ47AAAAOQAAABUAAAAAAAAAAQAgAAAADwEAAGRycy9ncm91&#10;cHNoYXBleG1sLnhtbFBLBQYAAAAABgAGAGABAADMAwAAAAA=&#10;">
                        <o:lock v:ext="edit" aspectratio="f"/>
                        <v:shape id="AutoShape 9" o:spid="_x0000_s1026" o:spt="109" type="#_x0000_t109" style="position:absolute;left:1860;top:0;height:499;width:1417;" fillcolor="#FFFFFF" filled="t" stroked="t" coordsize="21600,21600" o:gfxdata="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WYOlL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14:paraId="0BABE93F">
                                <w:pPr>
                                  <w:jc w:val="center"/>
                                </w:pPr>
                                <w:r>
                                  <w:rPr>
                                    <w:rFonts w:hint="eastAsia"/>
                                  </w:rPr>
                                  <w:t>纠纷报案</w:t>
                                </w:r>
                              </w:p>
                            </w:txbxContent>
                          </v:textbox>
                        </v:shape>
                        <v:shape id="AutoShape 10" o:spid="_x0000_s1026" o:spt="109" type="#_x0000_t109" style="position:absolute;left:585;top:2707;height:1477;width:3969;" fillcolor="#FFFFFF" filled="t" stroked="t" coordsize="21600,21600" o:gfxdata="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Y7gL4A&#10;AADcAAAADwAAAAAAAAABACAAAAAiAAAAZHJzL2Rvd25yZXYueG1sUEsBAhQAFAAAAAgAh07iQDMv&#10;BZ47AAAAOQAAABAAAAAAAAAAAQAgAAAADQEAAGRycy9zaGFwZXhtbC54bWxQSwUGAAAAAAYABgBb&#10;AQAAtwMAAAAA&#10;">
                          <v:fill on="t" focussize="0,0"/>
                          <v:stroke weight="1pt" color="#000000" joinstyle="miter" dashstyle="dash"/>
                          <v:imagedata o:title=""/>
                          <o:lock v:ext="edit" aspectratio="f"/>
                          <v:textbox>
                            <w:txbxContent>
                              <w:p w14:paraId="103F4D4C">
                                <w:pPr>
                                  <w:rPr>
                                    <w:b/>
                                  </w:rPr>
                                </w:pPr>
                                <w:r>
                                  <w:rPr>
                                    <w:rFonts w:hint="eastAsia"/>
                                    <w:b/>
                                    <w:lang w:eastAsia="zh-CN"/>
                                  </w:rPr>
                                  <w:t>专家</w:t>
                                </w:r>
                                <w:r>
                                  <w:rPr>
                                    <w:rFonts w:hint="eastAsia"/>
                                    <w:b/>
                                  </w:rPr>
                                  <w:t>分析：是否存在过错及过错类型？</w:t>
                                </w:r>
                              </w:p>
                              <w:p w14:paraId="1439F3A2">
                                <w:pPr>
                                  <w:rPr>
                                    <w:b/>
                                  </w:rPr>
                                </w:pPr>
                                <w:r>
                                  <w:rPr>
                                    <w:rFonts w:hint="eastAsia"/>
                                  </w:rPr>
                                  <w:t xml:space="preserve">          </w:t>
                                </w:r>
                                <w:r>
                                  <w:rPr>
                                    <w:rFonts w:hint="eastAsia"/>
                                    <w:b/>
                                  </w:rPr>
                                  <w:t>是否违反诊疗常规？</w:t>
                                </w:r>
                              </w:p>
                              <w:p w14:paraId="312A813C">
                                <w:pPr>
                                  <w:rPr>
                                    <w:b/>
                                  </w:rPr>
                                </w:pPr>
                                <w:r>
                                  <w:rPr>
                                    <w:rFonts w:hint="eastAsia"/>
                                    <w:b/>
                                  </w:rPr>
                                  <w:t xml:space="preserve">          损害金额？</w:t>
                                </w:r>
                              </w:p>
                              <w:p w14:paraId="6CEDAE10">
                                <w:pPr>
                                  <w:rPr>
                                    <w:rFonts w:hint="eastAsia" w:eastAsia="宋体"/>
                                    <w:b/>
                                    <w:lang w:eastAsia="zh-CN"/>
                                  </w:rPr>
                                </w:pPr>
                                <w:r>
                                  <w:rPr>
                                    <w:rFonts w:hint="eastAsia"/>
                                    <w:b/>
                                  </w:rPr>
                                  <w:t xml:space="preserve">          处理建议</w:t>
                                </w:r>
                                <w:r>
                                  <w:rPr>
                                    <w:rFonts w:hint="eastAsia"/>
                                    <w:b/>
                                    <w:lang w:eastAsia="zh-CN"/>
                                  </w:rPr>
                                  <w:t>？</w:t>
                                </w:r>
                              </w:p>
                            </w:txbxContent>
                          </v:textbox>
                        </v:shape>
                        <v:shape id="AutoShape 11" o:spid="_x0000_s1026" o:spt="109" type="#_x0000_t109" style="position:absolute;left:106;top:1017;height:515;width:1922;" fillcolor="#FFFFFF" filled="t" stroked="t" coordsize="21600,21600" o:gfxdata="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yZRPugAAANwA&#10;AAAPAAAAAAAAAAEAIAAAACIAAABkcnMvZG93bnJldi54bWxQSwECFAAUAAAACACHTuJAMy8FnjsA&#10;AAA5AAAAEAAAAAAAAAABACAAAAAJAQAAZHJzL3NoYXBleG1sLnhtbFBLBQYAAAAABgAGAFsBAACz&#10;AwAAAAA=&#10;">
                          <v:fill on="t" focussize="0,0"/>
                          <v:stroke weight="2.5pt" color="#000000" joinstyle="miter"/>
                          <v:imagedata o:title=""/>
                          <o:lock v:ext="edit" aspectratio="f"/>
                          <v:textbox>
                            <w:txbxContent>
                              <w:p w14:paraId="604781FC">
                                <w:pPr>
                                  <w:jc w:val="center"/>
                                </w:pPr>
                                <w:r>
                                  <w:rPr>
                                    <w:rFonts w:hint="eastAsia"/>
                                  </w:rPr>
                                  <w:t>广东</w:t>
                                </w:r>
                                <w:r>
                                  <w:rPr>
                                    <w:rFonts w:hint="eastAsia"/>
                                    <w:lang w:eastAsia="zh-CN"/>
                                  </w:rPr>
                                  <w:t>和谐</w:t>
                                </w:r>
                                <w:r>
                                  <w:rPr>
                                    <w:rFonts w:hint="eastAsia"/>
                                  </w:rPr>
                                  <w:t>医调委</w:t>
                                </w:r>
                              </w:p>
                            </w:txbxContent>
                          </v:textbox>
                        </v:shape>
                        <v:shape id="AutoShape 12" o:spid="_x0000_s1026" o:spt="109" type="#_x0000_t109" style="position:absolute;left:3180;top:1050;height:499;width:1644;" fillcolor="#FFFFFF" filled="t" stroked="t" coordsize="21600,21600" o:gfxdata="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Ux1L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4808BA74">
                                <w:pPr>
                                  <w:jc w:val="center"/>
                                </w:pPr>
                                <w:r>
                                  <w:rPr>
                                    <w:rFonts w:hint="eastAsia"/>
                                    <w:lang w:val="en-US" w:eastAsia="zh-CN"/>
                                  </w:rPr>
                                  <w:t>保险</w:t>
                                </w:r>
                                <w:r>
                                  <w:rPr>
                                    <w:rFonts w:hint="eastAsia"/>
                                  </w:rPr>
                                  <w:t>经纪公司</w:t>
                                </w:r>
                              </w:p>
                            </w:txbxContent>
                          </v:textbox>
                        </v:shape>
                        <v:shape id="AutoShape 13" o:spid="_x0000_s1026" o:spt="34" type="#_x0000_t34" style="position:absolute;left:1559;top:7;height:1502;width:518;rotation:5898240f;" filled="f" stroked="t" coordsize="21600,21600" o:gfxdata="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MROb4A&#10;AADcAAAADwAAAAAAAAABACAAAAAiAAAAZHJzL2Rvd25yZXYueG1sUEsBAhQAFAAAAAgAh07iQDMv&#10;BZ47AAAAOQAAABAAAAAAAAAAAQAgAAAADQEAAGRycy9zaGFwZXhtbC54bWxQSwUGAAAAAAYABgBb&#10;AQAAtwMAAAAA&#10;" adj="10800">
                          <v:fill on="f" focussize="0,0"/>
                          <v:stroke color="#000000" joinstyle="miter" endarrow="block"/>
                          <v:imagedata o:title=""/>
                          <o:lock v:ext="edit" aspectratio="f"/>
                        </v:shape>
                        <v:shape id="AutoShape 14" o:spid="_x0000_s1026" o:spt="34" type="#_x0000_t34" style="position:absolute;left:2944;top:77;flip:x;height:1348;width:551;rotation:5898240f;" filled="f" stroked="t" coordsize="21600,21600" o:gfxdata="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pUdO5AAAA3AAA&#10;AA8AAAAAAAAAAQAgAAAAIgAAAGRycy9kb3ducmV2LnhtbFBLAQIUABQAAAAIAIdO4kAzLwWeOwAA&#10;ADkAAAAQAAAAAAAAAAEAIAAAAAgBAABkcnMvc2hhcGV4bWwueG1sUEsFBgAAAAAGAAYAWwEAALID&#10;AAAAAA==&#10;" adj="10780">
                          <v:fill on="f" focussize="0,0"/>
                          <v:stroke color="#000000" joinstyle="miter" endarrow="block"/>
                          <v:imagedata o:title=""/>
                          <o:lock v:ext="edit" aspectratio="f"/>
                        </v:shape>
                        <v:shape id="AutoShape 15" o:spid="_x0000_s1026" o:spt="32" type="#_x0000_t32" style="position:absolute;left:1954;top:1300;flip:x;height:1;width:1226;" filled="f" stroked="t" coordsize="21600,21600" o:gfxdata="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HHm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6" o:spid="_x0000_s1026" o:spt="34" type="#_x0000_t34" style="position:absolute;left:1231;top:1368;flip:y;height:1503;width:1175;rotation:-5898240f;" filled="f" stroked="t" coordsize="21600,21600" o:gfxdata="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Nw+V&#10;wAAAANwAAAAPAAAAAAAAAAEAIAAAACIAAABkcnMvZG93bnJldi54bWxQSwECFAAUAAAACACHTuJA&#10;My8FnjsAAAA5AAAAEAAAAAAAAAABACAAAAAPAQAAZHJzL3NoYXBleG1sLnhtbFBLBQYAAAAABgAG&#10;AFsBAAC5AwAAAAA=&#10;" adj="10809">
                          <v:fill on="f" focussize="0,0"/>
                          <v:stroke color="#000000" joinstyle="miter" endarrow="block"/>
                          <v:imagedata o:title=""/>
                          <o:lock v:ext="edit" aspectratio="f"/>
                        </v:shape>
                        <v:shape id="AutoShape 17" o:spid="_x0000_s1026" o:spt="109" type="#_x0000_t109" style="position:absolute;left:1860;top:1800;height:499;width:1417;" fillcolor="#FFFFFF" filled="t" stroked="t" coordsize="21600,21600" o:gfxdata="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Kmg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1262B99E">
                                <w:pPr>
                                  <w:jc w:val="center"/>
                                </w:pPr>
                                <w:r>
                                  <w:rPr>
                                    <w:rFonts w:hint="eastAsia"/>
                                  </w:rPr>
                                  <w:t>调查取证</w:t>
                                </w:r>
                              </w:p>
                            </w:txbxContent>
                          </v:textbox>
                        </v:shape>
                        <v:shape id="AutoShape 18" o:spid="_x0000_s1026" o:spt="109" type="#_x0000_t109" style="position:absolute;left:3045;top:5373;height:510;width:1814;" fillcolor="#FFFFFF" filled="t" stroked="t" coordsize="21600,21600" o:gfxdata="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Aw7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170D17E9">
                                <w:pPr>
                                  <w:jc w:val="center"/>
                                </w:pPr>
                                <w:r>
                                  <w:rPr>
                                    <w:rFonts w:hint="eastAsia"/>
                                  </w:rPr>
                                  <w:t>医患双方不同意</w:t>
                                </w:r>
                              </w:p>
                            </w:txbxContent>
                          </v:textbox>
                        </v:shape>
                        <v:shape id="AutoShape 19" o:spid="_x0000_s1026" o:spt="109" type="#_x0000_t109" style="position:absolute;left:0;top:5373;height:510;width:1701;" fillcolor="#FFFFFF" filled="t" stroked="t" coordsize="21600,21600" o:gfxdata="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v5hJugAAANwA&#10;AAAPAAAAAAAAAAEAIAAAACIAAABkcnMvZG93bnJldi54bWxQSwECFAAUAAAACACHTuJAMy8FnjsA&#10;AAA5AAAAEAAAAAAAAAABACAAAAAJAQAAZHJzL3NoYXBleG1sLnhtbFBLBQYAAAAABgAGAFsBAACz&#10;AwAAAAA=&#10;">
                          <v:fill on="t" focussize="0,0"/>
                          <v:stroke weight="2.5pt" color="#000000" joinstyle="miter"/>
                          <v:imagedata o:title=""/>
                          <o:lock v:ext="edit" aspectratio="f"/>
                          <v:textbox>
                            <w:txbxContent>
                              <w:p w14:paraId="6171C7DF">
                                <w:pPr>
                                  <w:jc w:val="center"/>
                                </w:pPr>
                                <w:r>
                                  <w:rPr>
                                    <w:rFonts w:hint="eastAsia"/>
                                  </w:rPr>
                                  <w:t>医患双方同意</w:t>
                                </w:r>
                              </w:p>
                            </w:txbxContent>
                          </v:textbox>
                        </v:shape>
                        <v:shape id="AutoShape 20" o:spid="_x0000_s1026" o:spt="34" type="#_x0000_t34" style="position:absolute;left:1116;top:3919;height:1719;width:1189;rotation:5898240f;" filled="f" stroked="t" coordsize="21600,21600" o:gfxdata="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so/u/&#10;AAAA3AAAAA8AAAAAAAAAAQAgAAAAIgAAAGRycy9kb3ducmV2LnhtbFBLAQIUABQAAAAIAIdO4kAz&#10;LwWeOwAAADkAAAAQAAAAAAAAAAEAIAAAAA4BAABkcnMvc2hhcGV4bWwueG1sUEsFBgAAAAAGAAYA&#10;WwEAALgDAAAAAA==&#10;" adj="10809">
                          <v:fill on="f" focussize="0,0"/>
                          <v:stroke color="#000000" joinstyle="miter" endarrow="block"/>
                          <v:imagedata o:title=""/>
                          <o:lock v:ext="edit" aspectratio="f"/>
                        </v:shape>
                        <v:shape id="AutoShape 21" o:spid="_x0000_s1026" o:spt="34" type="#_x0000_t34" style="position:absolute;left:2667;top:4088;flip:y;height:1382;width:1189;rotation:-5898240f;" filled="f" stroked="t" coordsize="21600,21600" o:gfxdata="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nK5yvQAA&#10;ANwAAAAPAAAAAAAAAAEAIAAAACIAAABkcnMvZG93bnJldi54bWxQSwECFAAUAAAACACHTuJAMy8F&#10;njsAAAA5AAAAEAAAAAAAAAABACAAAAAMAQAAZHJzL3NoYXBleG1sLnhtbFBLBQYAAAAABgAGAFsB&#10;AAC2AwAAAAA=&#10;" adj="10800">
                          <v:fill on="f" focussize="0,0"/>
                          <v:stroke color="#000000" joinstyle="miter" endarrow="block"/>
                          <v:imagedata o:title=""/>
                          <o:lock v:ext="edit" aspectratio="f"/>
                        </v:shape>
                        <v:shape id="AutoShape 22" o:spid="_x0000_s1026" o:spt="109" type="#_x0000_t109" style="position:absolute;left:1740;top:4683;height:510;width:1701;" fillcolor="#FFFFFF" filled="t" stroked="t" coordsize="21600,21600" o:gfxdata="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BB87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776E878A">
                                <w:pPr>
                                  <w:jc w:val="center"/>
                                </w:pPr>
                                <w:r>
                                  <w:rPr>
                                    <w:rFonts w:hint="eastAsia"/>
                                  </w:rPr>
                                  <w:t>进入调解程序</w:t>
                                </w:r>
                              </w:p>
                            </w:txbxContent>
                          </v:textbox>
                        </v:shape>
                      </v:group>
                    </v:group>
                    <v:shape id="AutoShape 23" o:spid="_x0000_s1026" o:spt="109" type="#_x0000_t109" style="position:absolute;left:0;top:8603;height:510;width:1701;" fillcolor="#FFFFFF" filled="t" stroked="t" coordsize="21600,21600" o:gfxdata="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LfhL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047516B6">
                            <w:pPr>
                              <w:ind w:firstLine="105" w:firstLineChars="50"/>
                              <w:jc w:val="center"/>
                            </w:pPr>
                            <w:r>
                              <w:rPr>
                                <w:rFonts w:hint="eastAsia"/>
                              </w:rPr>
                              <w:t>支付给患方</w:t>
                            </w:r>
                          </w:p>
                        </w:txbxContent>
                      </v:textbox>
                    </v:shape>
                    <v:shape id="AutoShape 24" o:spid="_x0000_s1026" o:spt="109" type="#_x0000_t109" style="position:absolute;left:3092;top:8601;height:510;width:1701;" fillcolor="#FFFFFF" filled="t" stroked="t" coordsize="21600,21600" o:gfxdata="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znof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72F53C72">
                            <w:r>
                              <w:rPr>
                                <w:rFonts w:hint="eastAsia"/>
                              </w:rPr>
                              <w:t>或支付给医院</w:t>
                            </w:r>
                          </w:p>
                        </w:txbxContent>
                      </v:textbox>
                    </v:shape>
                    <v:shape id="AutoShape 25" o:spid="_x0000_s1026" o:spt="109" type="#_x0000_t109" style="position:absolute;left:5623;top:5571;height:510;width:1984;" fillcolor="#FFFFFF" filled="t" stroked="t" coordsize="21600,21600" o:gfxdata="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J+Jr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476D8BC3">
                            <w:pPr>
                              <w:ind w:firstLine="105" w:firstLineChars="50"/>
                              <w:jc w:val="center"/>
                            </w:pPr>
                            <w:r>
                              <w:rPr>
                                <w:rFonts w:hint="eastAsia"/>
                              </w:rPr>
                              <w:t>引导走诉讼</w:t>
                            </w:r>
                          </w:p>
                        </w:txbxContent>
                      </v:textbox>
                    </v:shape>
                    <v:shape id="AutoShape 26" o:spid="_x0000_s1026" o:spt="109" type="#_x0000_t109" style="position:absolute;left:3028;top:7254;height:510;width:1928;" fillcolor="#FFFFFF" filled="t" stroked="t" coordsize="21600,21600" o:gfxdata="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a0fw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4E8E11B4">
                            <w:pPr>
                              <w:ind w:firstLine="105" w:firstLineChars="50"/>
                              <w:jc w:val="center"/>
                            </w:pPr>
                            <w:r>
                              <w:rPr>
                                <w:rFonts w:hint="eastAsia"/>
                              </w:rPr>
                              <w:t>再进入调解程序</w:t>
                            </w:r>
                          </w:p>
                        </w:txbxContent>
                      </v:textbox>
                    </v:shape>
                    <v:shape id="AutoShape 27" o:spid="_x0000_s1026" o:spt="109" type="#_x0000_t109" style="position:absolute;left:5621;top:7254;height:510;width:1984;" fillcolor="#FFFFFF" filled="t" stroked="t" coordsize="21600,21600" o:gfxdata="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dmH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138EEBBD">
                            <w:pPr>
                              <w:ind w:firstLine="105" w:firstLineChars="50"/>
                            </w:pPr>
                            <w:r>
                              <w:rPr>
                                <w:rFonts w:hint="eastAsia"/>
                              </w:rPr>
                              <w:t>医患双方不同意</w:t>
                            </w:r>
                          </w:p>
                        </w:txbxContent>
                      </v:textbox>
                    </v:shape>
                    <v:shape id="AutoShape 28" o:spid="_x0000_s1026" o:spt="109" type="#_x0000_t109" style="position:absolute;left:13;top:7554;height:510;width:1701;" fillcolor="#FFFFFF" filled="t" stroked="t" coordsize="21600,21600" o:gfxdata="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nsk7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14:paraId="342FDE7C">
                            <w:pPr>
                              <w:ind w:firstLine="105" w:firstLineChars="50"/>
                              <w:jc w:val="center"/>
                              <w:rPr>
                                <w:b/>
                              </w:rPr>
                            </w:pPr>
                            <w:r>
                              <w:rPr>
                                <w:rFonts w:hint="eastAsia"/>
                                <w:b/>
                              </w:rPr>
                              <w:t>认定保险责任</w:t>
                            </w:r>
                          </w:p>
                        </w:txbxContent>
                      </v:textbox>
                    </v:shape>
                    <v:shape id="AutoShape 29" o:spid="_x0000_s1026" o:spt="34" type="#_x0000_t34" style="position:absolute;left:102;top:6765;height:2;width:1479;rotation:5898240f;" filled="f" stroked="t" coordsize="21600,21600" o:gfxdata="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5TNqrsAAADc&#10;AAAADwAAAAAAAAABACAAAAAiAAAAZHJzL2Rvd25yZXYueG1sUEsBAhQAFAAAAAgAh07iQDMvBZ47&#10;AAAAOQAAABAAAAAAAAAAAQAgAAAACgEAAGRycy9zaGFwZXhtbC54bWxQSwUGAAAAAAYABgBbAQAA&#10;tAMAAAAA&#10;" adj="10983">
                      <v:fill on="f" focussize="0,0"/>
                      <v:stroke color="#000000" joinstyle="miter" endarrow="block"/>
                      <v:imagedata o:title=""/>
                      <o:lock v:ext="edit" aspectratio="f"/>
                    </v:shape>
                    <v:shape id="AutoShape 30" o:spid="_x0000_s1026" o:spt="109" type="#_x0000_t109" style="position:absolute;left:17;top:6606;height:510;width:1926;" fillcolor="#FFFFFF" filled="t" stroked="t" coordsize="21600,21600" o:gfxdata="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Jk31vQAA&#10;ANwAAAAPAAAAAAAAAAEAIAAAACIAAABkcnMvZG93bnJldi54bWxQSwECFAAUAAAACACHTuJAMy8F&#10;njsAAAA5AAAAEAAAAAAAAAABACAAAAAMAQAAZHJzL3NoYXBleG1sLnhtbFBLBQYAAAAABgAGAFsB&#10;AAC2AwAAAAA=&#10;">
                      <v:fill on="t" focussize="0,0"/>
                      <v:stroke weight="2.5pt" color="#000000" joinstyle="miter"/>
                      <v:imagedata o:title=""/>
                      <o:lock v:ext="edit" aspectratio="f"/>
                      <v:textbox>
                        <w:txbxContent>
                          <w:p w14:paraId="7F7FF225">
                            <w:pPr>
                              <w:rPr>
                                <w:rFonts w:hint="eastAsia" w:eastAsia="宋体"/>
                                <w:lang w:eastAsia="zh-CN"/>
                              </w:rPr>
                            </w:pPr>
                            <w:r>
                              <w:rPr>
                                <w:rFonts w:hint="eastAsia"/>
                                <w:lang w:eastAsia="zh-CN"/>
                              </w:rPr>
                              <w:t>提交保险人索赔</w:t>
                            </w:r>
                          </w:p>
                        </w:txbxContent>
                      </v:textbox>
                    </v:shape>
                    <v:shape id="AutoShape 31" o:spid="_x0000_s1026" o:spt="109" type="#_x0000_t109" style="position:absolute;left:3253;top:6351;height:510;width:1474;" fillcolor="#FFFFFF" filled="t" stroked="t" coordsize="21600,21600" o:gfxdata="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niOr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14:paraId="7812D51B">
                            <w:pPr>
                              <w:ind w:firstLine="105" w:firstLineChars="50"/>
                              <w:jc w:val="center"/>
                              <w:rPr>
                                <w:rFonts w:hint="eastAsia" w:eastAsia="宋体"/>
                                <w:b/>
                                <w:lang w:eastAsia="zh-CN"/>
                              </w:rPr>
                            </w:pPr>
                            <w:r>
                              <w:rPr>
                                <w:rFonts w:hint="eastAsia"/>
                                <w:b/>
                                <w:lang w:eastAsia="zh-CN"/>
                              </w:rPr>
                              <w:t>引导鉴定</w:t>
                            </w:r>
                          </w:p>
                        </w:txbxContent>
                      </v:textbox>
                    </v:shape>
                    <v:shape id="AutoShape 32" o:spid="_x0000_s1026" o:spt="34" type="#_x0000_t34" style="position:absolute;left:4874;top:5795;height:31;width:749;" filled="f" stroked="t" coordsize="21600,21600" o:gfxdata="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Xcj1&#10;wAAAANwAAAAPAAAAAAAAAAEAIAAAACIAAABkcnMvZG93bnJldi54bWxQSwECFAAUAAAACACHTuJA&#10;My8FnjsAAAA5AAAAEAAAAAAAAAABACAAAAAPAQAAZHJzL3NoYXBleG1sLnhtbFBLBQYAAAAABgAG&#10;AFsBAAC5AwAAAAA=&#10;" adj="10786">
                      <v:fill on="f" focussize="0,0"/>
                      <v:stroke color="#000000" joinstyle="miter" endarrow="block"/>
                      <v:imagedata o:title=""/>
                      <o:lock v:ext="edit" aspectratio="f"/>
                    </v:shape>
                    <v:shape id="AutoShape 33" o:spid="_x0000_s1026" o:spt="32" type="#_x0000_t32" style="position:absolute;left:4956;top:7509;height:1;width:665;" filled="f" stroked="t" coordsize="21600,21600" o:gfxdata="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sCY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4" o:spid="_x0000_s1026" o:spt="34" type="#_x0000_t34" style="position:absolute;left:6004;top:6643;height:2;width:1173;rotation:-5898240f;" filled="f" stroked="t" coordsize="21600,21600" o:gfxdata="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vV4&#10;V8EAAADcAAAADwAAAAAAAAABACAAAAAiAAAAZHJzL2Rvd25yZXYueG1sUEsBAhQAFAAAAAgAh07i&#10;QDMvBZ47AAAAOQAAABAAAAAAAAAAAQAgAAAAEAEAAGRycy9zaGFwZXhtbC54bWxQSwUGAAAAAAYA&#10;BgBbAQAAugMAAAAA&#10;" adj="10791">
                      <v:fill on="f" focussize="0,0"/>
                      <v:stroke color="#000000" joinstyle="miter" endarrow="block"/>
                      <v:imagedata o:title=""/>
                      <o:lock v:ext="edit" aspectratio="f"/>
                    </v:shape>
                    <v:shape id="AutoShape 35" o:spid="_x0000_s1026" o:spt="34" type="#_x0000_t34" style="position:absolute;left:1716;top:5795;height:1714;width:1312;rotation:11796480f;" filled="f" stroked="t" coordsize="21600,21600" o:gfxdata="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LfBq&#10;wAAAANwAAAAPAAAAAAAAAAEAIAAAACIAAABkcnMvZG93bnJldi54bWxQSwECFAAUAAAACACHTuJA&#10;My8FnjsAAAA5AAAAEAAAAAAAAAABACAAAAAPAQAAZHJzL3NoYXBleG1sLnhtbFBLBQYAAAAABgAG&#10;AFsBAAC5AwAAAAA=&#10;" adj="10800">
                      <v:fill on="f" focussize="0,0"/>
                      <v:stroke color="#000000" joinstyle="miter" endarrow="block"/>
                      <v:imagedata o:title=""/>
                      <o:lock v:ext="edit" aspectratio="f"/>
                    </v:shape>
                    <v:shape id="AutoShape 36" o:spid="_x0000_s1026" o:spt="34" type="#_x0000_t34" style="position:absolute;left:2124;top:6782;flip:x;height:3079;width:512;rotation:5898240f;" filled="f" stroked="t" coordsize="21600,21600" o:gfxdata="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ZI1SvQAA&#10;ANwAAAAPAAAAAAAAAAEAIAAAACIAAABkcnMvZG93bnJldi54bWxQSwECFAAUAAAACACHTuJAMy8F&#10;njsAAAA5AAAAEAAAAAAAAAABACAAAAAMAQAAZHJzL3NoYXBleG1sLnhtbFBLBQYAAAAABgAGAFsB&#10;AAC2AwAAAAA=&#10;" adj="10252">
                      <v:fill on="f" focussize="0,0"/>
                      <v:stroke color="#000000" joinstyle="miter" endarrow="block"/>
                      <v:imagedata o:title=""/>
                      <o:lock v:ext="edit" aspectratio="f"/>
                    </v:shape>
                  </v:group>
                  <v:shape id="AutoShape 37" o:spid="_x0000_s1026" o:spt="32" type="#_x0000_t32" style="position:absolute;left:609;top:8346;height:0;width:514;rotation:5898240f;" filled="f" stroked="t" coordsize="21600,21600" o:gfxdata="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sSvQAA&#10;ANwAAAAPAAAAAAAAAAEAIAAAACIAAABkcnMvZG93bnJldi54bWxQSwECFAAUAAAACACHTuJAMy8F&#10;njsAAAA5AAAAEAAAAAAAAAABACAAAAAMAQAAZHJzL3NoYXBleG1sLnhtbFBLBQYAAAAABgAGAFsB&#10;AAC2AwAAAAA=&#10;">
                    <v:fill on="f" focussize="0,0"/>
                    <v:stroke weight="1pt" color="#000000" joinstyle="round" dashstyle="dash" endarrow="block"/>
                    <v:imagedata o:title=""/>
                    <o:lock v:ext="edit" aspectratio="f"/>
                  </v:shape>
                </v:group>
              </v:group>
            </w:pict>
          </mc:Fallback>
        </mc:AlternateContent>
      </w:r>
      <w:r>
        <w:rPr>
          <w:rFonts w:ascii="宋体" w:hAnsi="宋体"/>
          <w:b/>
          <w:sz w:val="32"/>
          <w:szCs w:val="32"/>
        </w:rPr>
        <w:br w:type="page"/>
      </w:r>
      <w:r>
        <w:rPr>
          <w:rFonts w:hint="eastAsia" w:ascii="宋体" w:hAnsi="宋体"/>
          <w:b/>
          <w:sz w:val="32"/>
          <w:szCs w:val="32"/>
          <w:lang w:eastAsia="zh-CN"/>
        </w:rPr>
        <w:t>2.</w:t>
      </w:r>
      <w:r>
        <w:rPr>
          <w:rFonts w:hint="eastAsia" w:ascii="宋体" w:hAnsi="宋体"/>
          <w:b/>
          <w:sz w:val="24"/>
          <w:szCs w:val="24"/>
        </w:rPr>
        <w:t>自</w:t>
      </w:r>
      <w:r>
        <w:rPr>
          <w:rFonts w:hint="eastAsia" w:ascii="宋体" w:hAnsi="宋体"/>
          <w:b/>
          <w:sz w:val="24"/>
          <w:szCs w:val="24"/>
          <w:lang w:eastAsia="zh-CN"/>
        </w:rPr>
        <w:t>主处理案件</w:t>
      </w:r>
      <w:r>
        <w:rPr>
          <w:rFonts w:hint="eastAsia" w:ascii="宋体" w:hAnsi="宋体"/>
          <w:b/>
          <w:sz w:val="24"/>
          <w:szCs w:val="24"/>
        </w:rPr>
        <w:t>处理流程图</w:t>
      </w:r>
    </w:p>
    <w:p w14:paraId="63F7114D">
      <w:pPr>
        <w:spacing w:line="540" w:lineRule="exact"/>
        <w:rPr>
          <w:rFonts w:hint="eastAsia" w:ascii="宋体" w:hAnsi="宋体"/>
          <w:b/>
          <w:sz w:val="32"/>
          <w:szCs w:val="32"/>
        </w:rPr>
      </w:pPr>
      <w:r>
        <w:rPr>
          <w:rFonts w:hint="eastAsia" w:ascii="宋体" w:hAnsi="宋体"/>
          <w:b/>
          <w:sz w:val="32"/>
          <w:szCs w:val="32"/>
          <w:lang w:val="zh-CN" w:eastAsia="zh-CN"/>
        </w:rPr>
        <mc:AlternateContent>
          <mc:Choice Requires="wpg">
            <w:drawing>
              <wp:anchor distT="0" distB="0" distL="114300" distR="114300" simplePos="0" relativeHeight="251659264" behindDoc="0" locked="0" layoutInCell="1" allowOverlap="1">
                <wp:simplePos x="0" y="0"/>
                <wp:positionH relativeFrom="column">
                  <wp:posOffset>409575</wp:posOffset>
                </wp:positionH>
                <wp:positionV relativeFrom="paragraph">
                  <wp:posOffset>316865</wp:posOffset>
                </wp:positionV>
                <wp:extent cx="4629150" cy="5786755"/>
                <wp:effectExtent l="15875" t="6350" r="22225" b="17145"/>
                <wp:wrapNone/>
                <wp:docPr id="397" name="Group 38"/>
                <wp:cNvGraphicFramePr/>
                <a:graphic xmlns:a="http://schemas.openxmlformats.org/drawingml/2006/main">
                  <a:graphicData uri="http://schemas.microsoft.com/office/word/2010/wordprocessingGroup">
                    <wpg:wgp>
                      <wpg:cNvGrpSpPr/>
                      <wpg:grpSpPr>
                        <a:xfrm>
                          <a:off x="0" y="0"/>
                          <a:ext cx="4629150" cy="5786755"/>
                          <a:chOff x="0" y="0"/>
                          <a:chExt cx="7290" cy="9113"/>
                        </a:xfrm>
                      </wpg:grpSpPr>
                      <wps:wsp>
                        <wps:cNvPr id="398" name="AutoShape 39"/>
                        <wps:cNvCnPr/>
                        <wps:spPr>
                          <a:xfrm rot="5400000">
                            <a:off x="573" y="8310"/>
                            <a:ext cx="537" cy="0"/>
                          </a:xfrm>
                          <a:prstGeom prst="straightConnector1">
                            <a:avLst/>
                          </a:prstGeom>
                          <a:ln w="15875" cap="flat" cmpd="sng">
                            <a:solidFill>
                              <a:srgbClr val="000000"/>
                            </a:solidFill>
                            <a:prstDash val="solid"/>
                            <a:headEnd type="none" w="med" len="med"/>
                            <a:tailEnd type="triangle" w="med" len="med"/>
                          </a:ln>
                        </wps:spPr>
                        <wps:bodyPr/>
                      </wps:wsp>
                      <wps:wsp>
                        <wps:cNvPr id="399" name="AutoShape 40"/>
                        <wps:cNvCnPr/>
                        <wps:spPr>
                          <a:xfrm rot="5400000">
                            <a:off x="3365" y="6652"/>
                            <a:ext cx="1204" cy="0"/>
                          </a:xfrm>
                          <a:prstGeom prst="straightConnector1">
                            <a:avLst/>
                          </a:prstGeom>
                          <a:ln w="15875" cap="flat" cmpd="sng">
                            <a:solidFill>
                              <a:srgbClr val="000000"/>
                            </a:solidFill>
                            <a:prstDash val="solid"/>
                            <a:headEnd type="none" w="med" len="med"/>
                            <a:tailEnd type="triangle" w="med" len="med"/>
                          </a:ln>
                        </wps:spPr>
                        <wps:bodyPr/>
                      </wps:wsp>
                      <wpg:grpSp>
                        <wpg:cNvPr id="400" name="Group 41"/>
                        <wpg:cNvGrpSpPr/>
                        <wpg:grpSpPr>
                          <a:xfrm>
                            <a:off x="0" y="0"/>
                            <a:ext cx="7290" cy="9113"/>
                            <a:chOff x="0" y="0"/>
                            <a:chExt cx="4629150" cy="5786755"/>
                          </a:xfrm>
                        </wpg:grpSpPr>
                        <wpg:grpSp>
                          <wpg:cNvPr id="401" name="Group 42"/>
                          <wpg:cNvGrpSpPr/>
                          <wpg:grpSpPr>
                            <a:xfrm>
                              <a:off x="0" y="0"/>
                              <a:ext cx="4629150" cy="5786755"/>
                              <a:chOff x="0" y="0"/>
                              <a:chExt cx="7290" cy="9113"/>
                            </a:xfrm>
                          </wpg:grpSpPr>
                          <wpg:grpSp>
                            <wpg:cNvPr id="402" name="Group 43"/>
                            <wpg:cNvGrpSpPr/>
                            <wpg:grpSpPr>
                              <a:xfrm>
                                <a:off x="15" y="0"/>
                                <a:ext cx="7275" cy="7765"/>
                                <a:chOff x="0" y="0"/>
                                <a:chExt cx="7275" cy="7765"/>
                              </a:xfrm>
                            </wpg:grpSpPr>
                            <wps:wsp>
                              <wps:cNvPr id="403" name="AutoShape 14"/>
                              <wps:cNvSpPr/>
                              <wps:spPr>
                                <a:xfrm>
                                  <a:off x="4065" y="0"/>
                                  <a:ext cx="3210" cy="105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00B8C4E6">
                                    <w:pPr>
                                      <w:rPr>
                                        <w:b/>
                                      </w:rPr>
                                    </w:pPr>
                                    <w:r>
                                      <w:rPr>
                                        <w:rFonts w:hint="eastAsia"/>
                                        <w:b/>
                                      </w:rPr>
                                      <w:t>报案内容：就诊时间、事件发生时间、大致诊疗过程、患者最终状态、投诉事件、患者诉求等</w:t>
                                    </w:r>
                                  </w:p>
                                </w:txbxContent>
                              </wps:txbx>
                              <wps:bodyPr vert="horz" anchor="t" upright="1"/>
                            </wps:wsp>
                            <wpg:grpSp>
                              <wpg:cNvPr id="404" name="Group 45"/>
                              <wpg:cNvGrpSpPr/>
                              <wpg:grpSpPr>
                                <a:xfrm>
                                  <a:off x="0" y="167"/>
                                  <a:ext cx="4859" cy="7598"/>
                                  <a:chOff x="0" y="0"/>
                                  <a:chExt cx="4859" cy="7598"/>
                                </a:xfrm>
                              </wpg:grpSpPr>
                              <wps:wsp>
                                <wps:cNvPr id="405" name="AutoShape 5"/>
                                <wps:cNvSpPr/>
                                <wps:spPr>
                                  <a:xfrm>
                                    <a:off x="1860" y="0"/>
                                    <a:ext cx="1417"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3A11ACAC">
                                      <w:pPr>
                                        <w:jc w:val="center"/>
                                      </w:pPr>
                                      <w:r>
                                        <w:rPr>
                                          <w:rFonts w:hint="eastAsia"/>
                                        </w:rPr>
                                        <w:t>纠纷报案</w:t>
                                      </w:r>
                                    </w:p>
                                  </w:txbxContent>
                                </wps:txbx>
                                <wps:bodyPr vert="horz" anchor="t" upright="1"/>
                              </wps:wsp>
                              <wps:wsp>
                                <wps:cNvPr id="406" name="AutoShape 7"/>
                                <wps:cNvSpPr/>
                                <wps:spPr>
                                  <a:xfrm>
                                    <a:off x="585" y="2647"/>
                                    <a:ext cx="3969" cy="1701"/>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55E39598">
                                      <w:pPr>
                                        <w:rPr>
                                          <w:b/>
                                        </w:rPr>
                                      </w:pPr>
                                      <w:r>
                                        <w:rPr>
                                          <w:rFonts w:hint="eastAsia"/>
                                          <w:b/>
                                        </w:rPr>
                                        <w:t>会诊要求：是否存在过错及过错类型？</w:t>
                                      </w:r>
                                    </w:p>
                                    <w:p w14:paraId="7AEC3BF5">
                                      <w:pPr>
                                        <w:rPr>
                                          <w:b/>
                                        </w:rPr>
                                      </w:pPr>
                                      <w:r>
                                        <w:rPr>
                                          <w:rFonts w:hint="eastAsia"/>
                                        </w:rPr>
                                        <w:t xml:space="preserve">          </w:t>
                                      </w:r>
                                      <w:r>
                                        <w:rPr>
                                          <w:rFonts w:hint="eastAsia"/>
                                          <w:b/>
                                        </w:rPr>
                                        <w:t>是否违反诊疗常规？</w:t>
                                      </w:r>
                                    </w:p>
                                    <w:p w14:paraId="42A8375A">
                                      <w:pPr>
                                        <w:rPr>
                                          <w:b/>
                                        </w:rPr>
                                      </w:pPr>
                                      <w:r>
                                        <w:rPr>
                                          <w:rFonts w:hint="eastAsia"/>
                                          <w:b/>
                                        </w:rPr>
                                        <w:t xml:space="preserve">          损害金额？</w:t>
                                      </w:r>
                                    </w:p>
                                    <w:p w14:paraId="3A0FB708">
                                      <w:pPr>
                                        <w:rPr>
                                          <w:b/>
                                        </w:rPr>
                                      </w:pPr>
                                      <w:r>
                                        <w:rPr>
                                          <w:rFonts w:hint="eastAsia"/>
                                          <w:b/>
                                        </w:rPr>
                                        <w:t xml:space="preserve">          在权限内处理</w:t>
                                      </w:r>
                                    </w:p>
                                    <w:p w14:paraId="7E4B6E3F">
                                      <w:pPr>
                                        <w:rPr>
                                          <w:b/>
                                        </w:rPr>
                                      </w:pPr>
                                      <w:r>
                                        <w:rPr>
                                          <w:rFonts w:hint="eastAsia"/>
                                          <w:b/>
                                        </w:rPr>
                                        <w:t xml:space="preserve">          核对资料完整</w:t>
                                      </w:r>
                                    </w:p>
                                  </w:txbxContent>
                                </wps:txbx>
                                <wps:bodyPr vert="horz" anchor="t" upright="1"/>
                              </wps:wsp>
                              <wps:wsp>
                                <wps:cNvPr id="407" name="AutoShape 118"/>
                                <wps:cNvSpPr/>
                                <wps:spPr>
                                  <a:xfrm>
                                    <a:off x="331" y="1063"/>
                                    <a:ext cx="1848"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83AB4BD">
                                      <w:pPr>
                                        <w:jc w:val="center"/>
                                      </w:pPr>
                                      <w:r>
                                        <w:rPr>
                                          <w:rFonts w:hint="eastAsia"/>
                                        </w:rPr>
                                        <w:t>广东</w:t>
                                      </w:r>
                                      <w:r>
                                        <w:rPr>
                                          <w:rFonts w:hint="eastAsia"/>
                                          <w:lang w:eastAsia="zh-CN"/>
                                        </w:rPr>
                                        <w:t>和谐</w:t>
                                      </w:r>
                                      <w:r>
                                        <w:rPr>
                                          <w:rFonts w:hint="eastAsia"/>
                                        </w:rPr>
                                        <w:t>医调委</w:t>
                                      </w:r>
                                    </w:p>
                                  </w:txbxContent>
                                </wps:txbx>
                                <wps:bodyPr vert="horz" anchor="t" upright="1"/>
                              </wps:wsp>
                              <wps:wsp>
                                <wps:cNvPr id="408" name="AutoShape 119"/>
                                <wps:cNvSpPr/>
                                <wps:spPr>
                                  <a:xfrm>
                                    <a:off x="3180" y="1050"/>
                                    <a:ext cx="1644"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58D4B49">
                                      <w:pPr>
                                        <w:jc w:val="center"/>
                                      </w:pPr>
                                      <w:r>
                                        <w:rPr>
                                          <w:rFonts w:hint="eastAsia"/>
                                          <w:lang w:val="en-US" w:eastAsia="zh-CN"/>
                                        </w:rPr>
                                        <w:t>保险</w:t>
                                      </w:r>
                                      <w:r>
                                        <w:rPr>
                                          <w:rFonts w:hint="eastAsia"/>
                                        </w:rPr>
                                        <w:t>经纪公司</w:t>
                                      </w:r>
                                    </w:p>
                                  </w:txbxContent>
                                </wps:txbx>
                                <wps:bodyPr vert="horz" anchor="t" upright="1"/>
                              </wps:wsp>
                              <wps:wsp>
                                <wps:cNvPr id="409" name="AutoShape 120"/>
                                <wps:cNvCnPr>
                                  <a:stCxn id="22" idx="2"/>
                                </wps:cNvCnPr>
                                <wps:spPr>
                                  <a:xfrm rot="5400000">
                                    <a:off x="1611" y="105"/>
                                    <a:ext cx="564" cy="1352"/>
                                  </a:xfrm>
                                  <a:prstGeom prst="bentConnector3">
                                    <a:avLst>
                                      <a:gd name="adj1" fmla="val 49824"/>
                                    </a:avLst>
                                  </a:prstGeom>
                                  <a:ln w="9525" cap="flat" cmpd="sng">
                                    <a:solidFill>
                                      <a:srgbClr val="000000"/>
                                    </a:solidFill>
                                    <a:prstDash val="solid"/>
                                    <a:miter/>
                                    <a:headEnd type="none" w="med" len="med"/>
                                    <a:tailEnd type="triangle" w="med" len="med"/>
                                  </a:ln>
                                </wps:spPr>
                                <wps:bodyPr/>
                              </wps:wsp>
                              <wps:wsp>
                                <wps:cNvPr id="410" name="AutoShape 121"/>
                                <wps:cNvCnPr>
                                  <a:stCxn id="22" idx="2"/>
                                  <a:endCxn id="25" idx="0"/>
                                </wps:cNvCnPr>
                                <wps:spPr>
                                  <a:xfrm rot="5400000" flipH="1">
                                    <a:off x="1869" y="5490"/>
                                    <a:ext cx="1158" cy="3057"/>
                                  </a:xfrm>
                                  <a:prstGeom prst="bentConnector5">
                                    <a:avLst>
                                      <a:gd name="adj1" fmla="val -32340"/>
                                      <a:gd name="adj2" fmla="val 50720"/>
                                      <a:gd name="adj3" fmla="val 132427"/>
                                    </a:avLst>
                                  </a:prstGeom>
                                  <a:ln w="9525" cap="flat" cmpd="sng">
                                    <a:solidFill>
                                      <a:srgbClr val="000000"/>
                                    </a:solidFill>
                                    <a:prstDash val="solid"/>
                                    <a:miter/>
                                    <a:headEnd type="none" w="med" len="med"/>
                                    <a:tailEnd type="triangle" w="med" len="med"/>
                                  </a:ln>
                                </wps:spPr>
                                <wps:bodyPr/>
                              </wps:wsp>
                              <wps:wsp>
                                <wps:cNvPr id="411" name="AutoShape 123"/>
                                <wps:cNvCnPr/>
                                <wps:spPr>
                                  <a:xfrm rot="-5400000" flipH="1">
                                    <a:off x="1329" y="1406"/>
                                    <a:ext cx="1085" cy="1353"/>
                                  </a:xfrm>
                                  <a:prstGeom prst="bentConnector3">
                                    <a:avLst>
                                      <a:gd name="adj1" fmla="val 49954"/>
                                    </a:avLst>
                                  </a:prstGeom>
                                  <a:ln w="9525" cap="flat" cmpd="sng">
                                    <a:solidFill>
                                      <a:srgbClr val="000000"/>
                                    </a:solidFill>
                                    <a:prstDash val="solid"/>
                                    <a:miter/>
                                    <a:headEnd type="none" w="med" len="med"/>
                                    <a:tailEnd type="triangle" w="med" len="med"/>
                                  </a:ln>
                                </wps:spPr>
                                <wps:bodyPr/>
                              </wps:wsp>
                              <wps:wsp>
                                <wps:cNvPr id="412" name="AutoShape 124"/>
                                <wps:cNvSpPr/>
                                <wps:spPr>
                                  <a:xfrm>
                                    <a:off x="1860" y="1800"/>
                                    <a:ext cx="1417" cy="499"/>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25FEED9">
                                      <w:pPr>
                                        <w:jc w:val="center"/>
                                      </w:pPr>
                                      <w:r>
                                        <w:rPr>
                                          <w:rFonts w:hint="eastAsia"/>
                                        </w:rPr>
                                        <w:t>医院会诊</w:t>
                                      </w:r>
                                    </w:p>
                                  </w:txbxContent>
                                </wps:txbx>
                                <wps:bodyPr vert="horz" anchor="t" upright="1"/>
                              </wps:wsp>
                              <wps:wsp>
                                <wps:cNvPr id="413" name="AutoShape 125"/>
                                <wps:cNvSpPr/>
                                <wps:spPr>
                                  <a:xfrm>
                                    <a:off x="3045" y="5373"/>
                                    <a:ext cx="1814"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91B860D">
                                      <w:pPr>
                                        <w:jc w:val="center"/>
                                      </w:pPr>
                                      <w:r>
                                        <w:rPr>
                                          <w:rFonts w:hint="eastAsia"/>
                                        </w:rPr>
                                        <w:t>患方不同意</w:t>
                                      </w:r>
                                    </w:p>
                                  </w:txbxContent>
                                </wps:txbx>
                                <wps:bodyPr vert="horz" anchor="t" upright="1"/>
                              </wps:wsp>
                              <wps:wsp>
                                <wps:cNvPr id="414" name="AutoShape 126"/>
                                <wps:cNvSpPr/>
                                <wps:spPr>
                                  <a:xfrm>
                                    <a:off x="0" y="537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4DB45920">
                                      <w:pPr>
                                        <w:jc w:val="center"/>
                                      </w:pPr>
                                      <w:r>
                                        <w:rPr>
                                          <w:rFonts w:hint="eastAsia"/>
                                        </w:rPr>
                                        <w:t>患方同意</w:t>
                                      </w:r>
                                    </w:p>
                                  </w:txbxContent>
                                </wps:txbx>
                                <wps:bodyPr vert="horz" anchor="t" upright="1"/>
                              </wps:wsp>
                              <wps:wsp>
                                <wps:cNvPr id="415" name="AutoShape 127"/>
                                <wps:cNvCnPr>
                                  <a:stCxn id="23" idx="2"/>
                                </wps:cNvCnPr>
                                <wps:spPr>
                                  <a:xfrm rot="5400000">
                                    <a:off x="1204" y="4007"/>
                                    <a:ext cx="1025" cy="1663"/>
                                  </a:xfrm>
                                  <a:prstGeom prst="bentConnector3">
                                    <a:avLst>
                                      <a:gd name="adj1" fmla="val 49949"/>
                                    </a:avLst>
                                  </a:prstGeom>
                                  <a:ln w="9525" cap="flat" cmpd="sng">
                                    <a:solidFill>
                                      <a:srgbClr val="000000"/>
                                    </a:solidFill>
                                    <a:prstDash val="solid"/>
                                    <a:miter/>
                                    <a:headEnd type="none" w="med" len="med"/>
                                    <a:tailEnd type="triangle" w="med" len="med"/>
                                  </a:ln>
                                </wps:spPr>
                                <wps:bodyPr/>
                              </wps:wsp>
                              <wps:wsp>
                                <wps:cNvPr id="416" name="AutoShape 128"/>
                                <wps:cNvCnPr>
                                  <a:stCxn id="23" idx="2"/>
                                  <a:endCxn id="92" idx="0"/>
                                </wps:cNvCnPr>
                                <wps:spPr>
                                  <a:xfrm rot="-5400000" flipH="1">
                                    <a:off x="2726" y="4147"/>
                                    <a:ext cx="1025" cy="1382"/>
                                  </a:xfrm>
                                  <a:prstGeom prst="bentConnector3">
                                    <a:avLst>
                                      <a:gd name="adj1" fmla="val 49949"/>
                                    </a:avLst>
                                  </a:prstGeom>
                                  <a:ln w="9525" cap="flat" cmpd="sng">
                                    <a:solidFill>
                                      <a:srgbClr val="000000"/>
                                    </a:solidFill>
                                    <a:prstDash val="solid"/>
                                    <a:miter/>
                                    <a:headEnd type="none" w="med" len="med"/>
                                    <a:tailEnd type="triangle" w="med" len="med"/>
                                  </a:ln>
                                </wps:spPr>
                                <wps:bodyPr/>
                              </wps:wsp>
                              <wps:wsp>
                                <wps:cNvPr id="417" name="AutoShape 8"/>
                                <wps:cNvSpPr/>
                                <wps:spPr>
                                  <a:xfrm>
                                    <a:off x="1740" y="468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03D5563C">
                                      <w:pPr>
                                        <w:jc w:val="center"/>
                                      </w:pPr>
                                      <w:r>
                                        <w:rPr>
                                          <w:rFonts w:hint="eastAsia"/>
                                        </w:rPr>
                                        <w:t>进入和解流程</w:t>
                                      </w:r>
                                    </w:p>
                                  </w:txbxContent>
                                </wps:txbx>
                                <wps:bodyPr vert="horz" anchor="t" upright="1"/>
                              </wps:wsp>
                            </wpg:grpSp>
                          </wpg:grpSp>
                          <wps:wsp>
                            <wps:cNvPr id="418" name="AutoShape 132"/>
                            <wps:cNvSpPr/>
                            <wps:spPr>
                              <a:xfrm>
                                <a:off x="0" y="8603"/>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841F720">
                                  <w:pPr>
                                    <w:ind w:firstLine="105" w:firstLineChars="50"/>
                                    <w:jc w:val="center"/>
                                  </w:pPr>
                                  <w:r>
                                    <w:rPr>
                                      <w:rFonts w:hint="eastAsia"/>
                                    </w:rPr>
                                    <w:t>支付给患方</w:t>
                                  </w:r>
                                </w:p>
                              </w:txbxContent>
                            </wps:txbx>
                            <wps:bodyPr vert="horz" anchor="t" upright="1"/>
                          </wps:wsp>
                          <wps:wsp>
                            <wps:cNvPr id="419" name="AutoShape 135"/>
                            <wps:cNvSpPr/>
                            <wps:spPr>
                              <a:xfrm>
                                <a:off x="3092" y="8601"/>
                                <a:ext cx="1701"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18BA60C8">
                                  <w:r>
                                    <w:rPr>
                                      <w:rFonts w:hint="eastAsia"/>
                                    </w:rPr>
                                    <w:t>或支付给医院</w:t>
                                  </w:r>
                                </w:p>
                              </w:txbxContent>
                            </wps:txbx>
                            <wps:bodyPr vert="horz" anchor="t" upright="1"/>
                          </wps:wsp>
                          <wps:wsp>
                            <wps:cNvPr id="420" name="AutoShape 155"/>
                            <wps:cNvSpPr/>
                            <wps:spPr>
                              <a:xfrm>
                                <a:off x="3028" y="7254"/>
                                <a:ext cx="1928"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08D5ED26">
                                  <w:pPr>
                                    <w:ind w:firstLine="105" w:firstLineChars="50"/>
                                    <w:jc w:val="center"/>
                                  </w:pPr>
                                  <w:r>
                                    <w:rPr>
                                      <w:rFonts w:hint="eastAsia"/>
                                    </w:rPr>
                                    <w:t>医患双方接受</w:t>
                                  </w:r>
                                </w:p>
                              </w:txbxContent>
                            </wps:txbx>
                            <wps:bodyPr vert="horz" anchor="t" upright="1"/>
                          </wps:wsp>
                          <wps:wsp>
                            <wps:cNvPr id="421" name="AutoShape 158"/>
                            <wps:cNvSpPr/>
                            <wps:spPr>
                              <a:xfrm>
                                <a:off x="13" y="7554"/>
                                <a:ext cx="1701" cy="51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7BF86185">
                                  <w:pPr>
                                    <w:ind w:firstLine="105" w:firstLineChars="50"/>
                                    <w:jc w:val="center"/>
                                    <w:rPr>
                                      <w:b/>
                                    </w:rPr>
                                  </w:pPr>
                                  <w:r>
                                    <w:rPr>
                                      <w:rFonts w:hint="eastAsia"/>
                                      <w:b/>
                                    </w:rPr>
                                    <w:t>认定保险责任</w:t>
                                  </w:r>
                                </w:p>
                              </w:txbxContent>
                            </wps:txbx>
                            <wps:bodyPr vert="horz" anchor="t" upright="1"/>
                          </wps:wsp>
                          <wps:wsp>
                            <wps:cNvPr id="422" name="AutoShape 159"/>
                            <wps:cNvCnPr>
                              <a:endCxn id="12" idx="0"/>
                            </wps:cNvCnPr>
                            <wps:spPr>
                              <a:xfrm rot="5400000">
                                <a:off x="103" y="6766"/>
                                <a:ext cx="1479" cy="2"/>
                              </a:xfrm>
                              <a:prstGeom prst="bentConnector3">
                                <a:avLst>
                                  <a:gd name="adj1" fmla="val 50847"/>
                                </a:avLst>
                              </a:prstGeom>
                              <a:ln w="9525" cap="flat" cmpd="sng">
                                <a:solidFill>
                                  <a:srgbClr val="000000"/>
                                </a:solidFill>
                                <a:prstDash val="solid"/>
                                <a:miter/>
                                <a:headEnd type="none" w="med" len="med"/>
                                <a:tailEnd type="triangle" w="med" len="med"/>
                              </a:ln>
                            </wps:spPr>
                            <wps:bodyPr/>
                          </wps:wsp>
                          <wps:wsp>
                            <wps:cNvPr id="423" name="AutoShape 131"/>
                            <wps:cNvSpPr/>
                            <wps:spPr>
                              <a:xfrm>
                                <a:off x="17" y="6606"/>
                                <a:ext cx="1836" cy="510"/>
                              </a:xfrm>
                              <a:prstGeom prst="flowChartProcess">
                                <a:avLst/>
                              </a:prstGeom>
                              <a:solidFill>
                                <a:srgbClr val="FFFFFF"/>
                              </a:solidFill>
                              <a:ln w="31750" cap="flat" cmpd="sng">
                                <a:solidFill>
                                  <a:srgbClr val="000000"/>
                                </a:solidFill>
                                <a:prstDash val="solid"/>
                                <a:miter/>
                                <a:headEnd type="none" w="med" len="med"/>
                                <a:tailEnd type="none" w="med" len="med"/>
                              </a:ln>
                            </wps:spPr>
                            <wps:txbx>
                              <w:txbxContent>
                                <w:p w14:paraId="75FADDA7">
                                  <w:pPr>
                                    <w:rPr>
                                      <w:rFonts w:hint="eastAsia"/>
                                    </w:rPr>
                                  </w:pPr>
                                  <w:r>
                                    <w:rPr>
                                      <w:rFonts w:hint="eastAsia"/>
                                    </w:rPr>
                                    <w:t>提交保险人</w:t>
                                  </w:r>
                                  <w:r>
                                    <w:rPr>
                                      <w:rFonts w:hint="eastAsia"/>
                                      <w:lang w:eastAsia="zh-CN"/>
                                    </w:rPr>
                                    <w:t>索赔</w:t>
                                  </w:r>
                                </w:p>
                              </w:txbxContent>
                            </wps:txbx>
                            <wps:bodyPr vert="horz" anchor="t" upright="1"/>
                          </wps:wsp>
                          <wps:wsp>
                            <wps:cNvPr id="424" name="AutoShape 137"/>
                            <wps:cNvSpPr/>
                            <wps:spPr>
                              <a:xfrm>
                                <a:off x="3253" y="6351"/>
                                <a:ext cx="1701" cy="510"/>
                              </a:xfrm>
                              <a:prstGeom prst="flowChartProcess">
                                <a:avLst/>
                              </a:prstGeom>
                              <a:solidFill>
                                <a:srgbClr val="FFFFFF"/>
                              </a:solidFill>
                              <a:ln w="12700" cap="flat" cmpd="sng">
                                <a:solidFill>
                                  <a:srgbClr val="000000"/>
                                </a:solidFill>
                                <a:prstDash val="dash"/>
                                <a:miter/>
                                <a:headEnd type="none" w="med" len="med"/>
                                <a:tailEnd type="none" w="med" len="med"/>
                              </a:ln>
                            </wps:spPr>
                            <wps:txbx>
                              <w:txbxContent>
                                <w:p w14:paraId="13A18611">
                                  <w:pPr>
                                    <w:jc w:val="center"/>
                                    <w:rPr>
                                      <w:rFonts w:hint="eastAsia" w:eastAsia="宋体"/>
                                      <w:b/>
                                      <w:lang w:eastAsia="zh-CN"/>
                                    </w:rPr>
                                  </w:pPr>
                                  <w:r>
                                    <w:rPr>
                                      <w:rFonts w:hint="eastAsia"/>
                                      <w:b/>
                                    </w:rPr>
                                    <w:t>引导</w:t>
                                  </w:r>
                                  <w:r>
                                    <w:rPr>
                                      <w:rFonts w:hint="eastAsia"/>
                                      <w:b/>
                                      <w:lang w:eastAsia="zh-CN"/>
                                    </w:rPr>
                                    <w:t>申请调解</w:t>
                                  </w:r>
                                </w:p>
                              </w:txbxContent>
                            </wps:txbx>
                            <wps:bodyPr vert="horz" anchor="t" upright="1"/>
                          </wps:wsp>
                          <wps:wsp>
                            <wps:cNvPr id="425" name="AutoShape 162"/>
                            <wps:cNvCnPr>
                              <a:stCxn id="92" idx="3"/>
                            </wps:cNvCnPr>
                            <wps:spPr>
                              <a:xfrm>
                                <a:off x="4874" y="5795"/>
                                <a:ext cx="749" cy="31"/>
                              </a:xfrm>
                              <a:prstGeom prst="bentConnector3">
                                <a:avLst>
                                  <a:gd name="adj1" fmla="val 49935"/>
                                </a:avLst>
                              </a:prstGeom>
                              <a:ln w="9525" cap="flat" cmpd="sng">
                                <a:solidFill>
                                  <a:srgbClr val="000000"/>
                                </a:solidFill>
                                <a:prstDash val="solid"/>
                                <a:miter/>
                                <a:headEnd type="none" w="med" len="med"/>
                                <a:tailEnd type="triangle" w="med" len="med"/>
                              </a:ln>
                            </wps:spPr>
                            <wps:bodyPr/>
                          </wps:wsp>
                          <wps:wsp>
                            <wps:cNvPr id="426" name="AutoShape 163"/>
                            <wps:cNvCnPr/>
                            <wps:spPr>
                              <a:xfrm>
                                <a:off x="4956" y="7509"/>
                                <a:ext cx="665" cy="1"/>
                              </a:xfrm>
                              <a:prstGeom prst="straightConnector1">
                                <a:avLst/>
                              </a:prstGeom>
                              <a:ln w="9525" cap="flat" cmpd="sng">
                                <a:solidFill>
                                  <a:srgbClr val="000000"/>
                                </a:solidFill>
                                <a:prstDash val="solid"/>
                                <a:headEnd type="none" w="med" len="med"/>
                                <a:tailEnd type="triangle" w="med" len="med"/>
                              </a:ln>
                            </wps:spPr>
                            <wps:bodyPr/>
                          </wps:wsp>
                          <wps:wsp>
                            <wps:cNvPr id="427" name="AutoShape 165"/>
                            <wps:cNvCnPr/>
                            <wps:spPr>
                              <a:xfrm rot="10800000">
                                <a:off x="1716" y="5795"/>
                                <a:ext cx="1312" cy="1714"/>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428" name="AutoShape 168"/>
                            <wps:cNvCnPr>
                              <a:stCxn id="12" idx="2"/>
                            </wps:cNvCnPr>
                            <wps:spPr>
                              <a:xfrm rot="-5400000" flipH="1">
                                <a:off x="2125" y="6783"/>
                                <a:ext cx="512" cy="3079"/>
                              </a:xfrm>
                              <a:prstGeom prst="bentConnector3">
                                <a:avLst>
                                  <a:gd name="adj1" fmla="val 47463"/>
                                </a:avLst>
                              </a:prstGeom>
                              <a:ln w="9525" cap="flat" cmpd="sng">
                                <a:solidFill>
                                  <a:srgbClr val="000000"/>
                                </a:solidFill>
                                <a:prstDash val="solid"/>
                                <a:miter/>
                                <a:headEnd type="none" w="med" len="med"/>
                                <a:tailEnd type="triangle" w="med" len="med"/>
                              </a:ln>
                            </wps:spPr>
                            <wps:bodyPr/>
                          </wps:wsp>
                        </wpg:grpSp>
                        <wps:wsp>
                          <wps:cNvPr id="429" name="五边形 3"/>
                          <wps:cNvSpPr/>
                          <wps:spPr>
                            <a:xfrm>
                              <a:off x="3570605" y="4518660"/>
                              <a:ext cx="936000" cy="484632"/>
                            </a:xfrm>
                            <a:prstGeom prst="homePlate">
                              <a:avLst>
                                <a:gd name="adj" fmla="val 50000"/>
                              </a:avLst>
                            </a:prstGeom>
                            <a:solidFill>
                              <a:srgbClr val="6D6D6D"/>
                            </a:solidFill>
                            <a:ln w="25400" cap="flat" cmpd="sng">
                              <a:solidFill>
                                <a:srgbClr val="4395D1"/>
                              </a:solidFill>
                              <a:prstDash val="solid"/>
                              <a:miter/>
                              <a:headEnd type="none" w="med" len="med"/>
                              <a:tailEnd type="none" w="med" len="med"/>
                            </a:ln>
                          </wps:spPr>
                          <wps:txbx>
                            <w:txbxContent>
                              <w:p w14:paraId="64CA5618">
                                <w:pPr>
                                  <w:jc w:val="center"/>
                                  <w:rPr>
                                    <w:color w:val="000000"/>
                                  </w:rPr>
                                </w:pPr>
                                <w:r>
                                  <w:rPr>
                                    <w:rFonts w:hint="eastAsia"/>
                                    <w:color w:val="000000"/>
                                  </w:rPr>
                                  <w:t>进入调解程序</w:t>
                                </w:r>
                              </w:p>
                            </w:txbxContent>
                          </wps:txbx>
                          <wps:bodyPr vert="horz" anchor="ctr" upright="1"/>
                        </wps:wsp>
                        <wps:wsp>
                          <wps:cNvPr id="430" name="五边形 4"/>
                          <wps:cNvSpPr/>
                          <wps:spPr>
                            <a:xfrm>
                              <a:off x="3550285" y="3442970"/>
                              <a:ext cx="935990" cy="484505"/>
                            </a:xfrm>
                            <a:prstGeom prst="homePlate">
                              <a:avLst>
                                <a:gd name="adj" fmla="val 50004"/>
                              </a:avLst>
                            </a:prstGeom>
                            <a:solidFill>
                              <a:srgbClr val="6D6D6D"/>
                            </a:solidFill>
                            <a:ln w="25400" cap="flat" cmpd="sng">
                              <a:solidFill>
                                <a:srgbClr val="4395D1"/>
                              </a:solidFill>
                              <a:prstDash val="solid"/>
                              <a:miter/>
                              <a:headEnd type="none" w="med" len="med"/>
                              <a:tailEnd type="none" w="med" len="med"/>
                            </a:ln>
                          </wps:spPr>
                          <wps:txbx>
                            <w:txbxContent>
                              <w:p w14:paraId="5DB6CEEA">
                                <w:pPr>
                                  <w:ind w:firstLine="105" w:firstLineChars="50"/>
                                  <w:jc w:val="center"/>
                                </w:pPr>
                                <w:r>
                                  <w:rPr>
                                    <w:rFonts w:hint="eastAsia"/>
                                    <w:color w:val="000000"/>
                                  </w:rPr>
                                  <w:t>引导走</w:t>
                                </w:r>
                                <w:r>
                                  <w:rPr>
                                    <w:rFonts w:hint="eastAsia"/>
                                  </w:rPr>
                                  <w:t>诉讼</w:t>
                                </w:r>
                              </w:p>
                              <w:p w14:paraId="223DE1E3">
                                <w:pPr>
                                  <w:ind w:firstLine="105" w:firstLineChars="50"/>
                                </w:pPr>
                                <w:r>
                                  <w:rPr>
                                    <w:rFonts w:hint="eastAsia"/>
                                  </w:rPr>
                                  <w:t>导走诉讼</w:t>
                                </w:r>
                              </w:p>
                              <w:p w14:paraId="7D97E14B">
                                <w:pPr>
                                  <w:ind w:firstLine="105" w:firstLineChars="50"/>
                                  <w:jc w:val="center"/>
                                </w:pPr>
                                <w:r>
                                  <w:rPr>
                                    <w:rFonts w:hint="eastAsia"/>
                                  </w:rPr>
                                  <w:t>讼</w:t>
                                </w:r>
                              </w:p>
                              <w:p w14:paraId="49B10398">
                                <w:pPr>
                                  <w:pStyle w:val="8"/>
                                  <w:spacing w:before="0" w:beforeLines="0" w:beforeAutospacing="0" w:after="0" w:afterLines="0" w:afterAutospacing="0"/>
                                  <w:jc w:val="center"/>
                                </w:pPr>
                                <w:r>
                                  <w:rPr>
                                    <w:rFonts w:hint="eastAsia" w:cs="Times New Roman"/>
                                    <w:kern w:val="2"/>
                                    <w:sz w:val="21"/>
                                    <w:szCs w:val="21"/>
                                  </w:rPr>
                                  <w:t>走司法诉讼</w:t>
                                </w:r>
                              </w:p>
                            </w:txbxContent>
                          </wps:txbx>
                          <wps:bodyPr vert="horz" anchor="ctr" upright="1"/>
                        </wps:wsp>
                      </wpg:grpSp>
                    </wpg:wgp>
                  </a:graphicData>
                </a:graphic>
              </wp:anchor>
            </w:drawing>
          </mc:Choice>
          <mc:Fallback>
            <w:pict>
              <v:group id="Group 38" o:spid="_x0000_s1026" o:spt="203" style="position:absolute;left:0pt;margin-left:32.25pt;margin-top:24.95pt;height:455.65pt;width:364.5pt;z-index:251659264;mso-width-relative:page;mso-height-relative:page;" coordsize="7290,9113" o:gfxdata="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">
                <o:lock v:ext="edit" aspectratio="f"/>
                <v:shape id="AutoShape 39" o:spid="_x0000_s1026" o:spt="32" type="#_x0000_t32" style="position:absolute;left:573;top:8310;height:0;width:537;rotation:5898240f;" filled="f" stroked="t" coordsize="21600,21600" o:gfxdata="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9KGa8AAAA&#10;3A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shape>
                <v:shape id="AutoShape 40" o:spid="_x0000_s1026" o:spt="32" type="#_x0000_t32" style="position:absolute;left:3365;top:6652;height:0;width:1204;rotation:5898240f;" filled="f" stroked="t" coordsize="21600,21600" o:gfxdata="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sY39vQAA&#10;ANw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group id="Group 41" o:spid="_x0000_s1026" o:spt="203" style="position:absolute;left:0;top:0;height:9113;width:7290;" coordsize="4629150,5786755" o:gfxdata="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D0PlW7AAAA3AAAAA8AAAAAAAAAAQAgAAAAIgAAAGRycy9kb3ducmV2LnhtbFBL&#10;AQIUABQAAAAIAIdO4kAzLwWeOwAAADkAAAAVAAAAAAAAAAEAIAAAAAoBAABkcnMvZ3JvdXBzaGFw&#10;ZXhtbC54bWxQSwUGAAAAAAYABgBgAQAAxwMAAAAA&#10;">
                  <o:lock v:ext="edit" aspectratio="f"/>
                  <v:group id="Group 42" o:spid="_x0000_s1026" o:spt="203" style="position:absolute;left:0;top:0;height:5786755;width:4629150;" coordsize="7290,9113" o:gfxdata="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uJvOvwAAANwAAAAPAAAAAAAAAAEAIAAAACIAAABkcnMvZG93bnJldi54&#10;bWxQSwECFAAUAAAACACHTuJAMy8FnjsAAAA5AAAAFQAAAAAAAAABACAAAAAOAQAAZHJzL2dyb3Vw&#10;c2hhcGV4bWwueG1sUEsFBgAAAAAGAAYAYAEAAMsDAAAAAA==&#10;">
                    <o:lock v:ext="edit" aspectratio="f"/>
                    <v:group id="Group 43" o:spid="_x0000_s1026" o:spt="203" style="position:absolute;left:15;top:0;height:7765;width:7275;" coordsize="7275,7765" o:gfxdata="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agW5vwAAANwAAAAPAAAAAAAAAAEAIAAAACIAAABkcnMvZG93bnJldi54&#10;bWxQSwECFAAUAAAACACHTuJAMy8FnjsAAAA5AAAAFQAAAAAAAAABACAAAAAOAQAAZHJzL2dyb3Vw&#10;c2hhcGV4bWwueG1sUEsFBgAAAAAGAAYAYAEAAMsDAAAAAA==&#10;">
                      <o:lock v:ext="edit" aspectratio="f"/>
                      <v:shape id="AutoShape 14" o:spid="_x0000_s1026" o:spt="109" type="#_x0000_t109" style="position:absolute;left:4065;top:0;height:1050;width:3210;" fillcolor="#FFFFFF" filled="t" stroked="t" coordsize="21600,21600" o:gfxdata="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skr74A&#10;AADcAAAADwAAAAAAAAABACAAAAAiAAAAZHJzL2Rvd25yZXYueG1sUEsBAhQAFAAAAAgAh07iQDMv&#10;BZ47AAAAOQAAABAAAAAAAAAAAQAgAAAADQEAAGRycy9zaGFwZXhtbC54bWxQSwUGAAAAAAYABgBb&#10;AQAAtwMAAAAA&#10;">
                        <v:fill on="t" focussize="0,0"/>
                        <v:stroke weight="1pt" color="#000000" joinstyle="miter" dashstyle="dash"/>
                        <v:imagedata o:title=""/>
                        <o:lock v:ext="edit" aspectratio="f"/>
                        <v:textbox>
                          <w:txbxContent>
                            <w:p w14:paraId="00B8C4E6">
                              <w:pPr>
                                <w:rPr>
                                  <w:b/>
                                </w:rPr>
                              </w:pPr>
                              <w:r>
                                <w:rPr>
                                  <w:rFonts w:hint="eastAsia"/>
                                  <w:b/>
                                </w:rPr>
                                <w:t>报案内容：就诊时间、事件发生时间、大致诊疗过程、患者最终状态、投诉事件、患者诉求等</w:t>
                              </w:r>
                            </w:p>
                          </w:txbxContent>
                        </v:textbox>
                      </v:shape>
                      <v:group id="Group 45" o:spid="_x0000_s1026" o:spt="203" style="position:absolute;left:0;top:167;height:7598;width:4859;" coordsize="4859,7598" o:gfxdata="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zzhWvwAAANwAAAAPAAAAAAAAAAEAIAAAACIAAABkcnMvZG93bnJldi54&#10;bWxQSwECFAAUAAAACACHTuJAMy8FnjsAAAA5AAAAFQAAAAAAAAABACAAAAAOAQAAZHJzL2dyb3Vw&#10;c2hhcGV4bWwueG1sUEsFBgAAAAAGAAYAYAEAAMsDAAAAAA==&#10;">
                        <o:lock v:ext="edit" aspectratio="f"/>
                        <v:shape id="AutoShape 5" o:spid="_x0000_s1026" o:spt="109" type="#_x0000_t109" style="position:absolute;left:1860;top:0;height:499;width:1417;" fillcolor="#FFFFFF" filled="t" stroked="t" coordsize="21600,21600" o:gfxdata="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Sic+/&#10;AAAA3AAAAA8AAAAAAAAAAQAgAAAAIgAAAGRycy9kb3ducmV2LnhtbFBLAQIUABQAAAAIAIdO4kAz&#10;LwWeOwAAADkAAAAQAAAAAAAAAAEAIAAAAA4BAABkcnMvc2hhcGV4bWwueG1sUEsFBgAAAAAGAAYA&#10;WwEAALgDAAAAAA==&#10;">
                          <v:fill on="t" focussize="0,0"/>
                          <v:stroke weight="2.5pt" color="#000000" joinstyle="miter"/>
                          <v:imagedata o:title=""/>
                          <o:lock v:ext="edit" aspectratio="f"/>
                          <v:textbox>
                            <w:txbxContent>
                              <w:p w14:paraId="3A11ACAC">
                                <w:pPr>
                                  <w:jc w:val="center"/>
                                </w:pPr>
                                <w:r>
                                  <w:rPr>
                                    <w:rFonts w:hint="eastAsia"/>
                                  </w:rPr>
                                  <w:t>纠纷报案</w:t>
                                </w:r>
                              </w:p>
                            </w:txbxContent>
                          </v:textbox>
                        </v:shape>
                        <v:shape id="AutoShape 7" o:spid="_x0000_s1026" o:spt="109" type="#_x0000_t109" style="position:absolute;left:585;top:2647;height:1701;width:3969;" fillcolor="#FFFFFF" filled="t" stroked="t" coordsize="21600,21600" o:gfxdata="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yHN74A&#10;AADcAAAADwAAAAAAAAABACAAAAAiAAAAZHJzL2Rvd25yZXYueG1sUEsBAhQAFAAAAAgAh07iQDMv&#10;BZ47AAAAOQAAABAAAAAAAAAAAQAgAAAADQEAAGRycy9zaGFwZXhtbC54bWxQSwUGAAAAAAYABgBb&#10;AQAAtwMAAAAA&#10;">
                          <v:fill on="t" focussize="0,0"/>
                          <v:stroke weight="1pt" color="#000000" joinstyle="miter" dashstyle="dash"/>
                          <v:imagedata o:title=""/>
                          <o:lock v:ext="edit" aspectratio="f"/>
                          <v:textbox>
                            <w:txbxContent>
                              <w:p w14:paraId="55E39598">
                                <w:pPr>
                                  <w:rPr>
                                    <w:b/>
                                  </w:rPr>
                                </w:pPr>
                                <w:r>
                                  <w:rPr>
                                    <w:rFonts w:hint="eastAsia"/>
                                    <w:b/>
                                  </w:rPr>
                                  <w:t>会诊要求：是否存在过错及过错类型？</w:t>
                                </w:r>
                              </w:p>
                              <w:p w14:paraId="7AEC3BF5">
                                <w:pPr>
                                  <w:rPr>
                                    <w:b/>
                                  </w:rPr>
                                </w:pPr>
                                <w:r>
                                  <w:rPr>
                                    <w:rFonts w:hint="eastAsia"/>
                                  </w:rPr>
                                  <w:t xml:space="preserve">          </w:t>
                                </w:r>
                                <w:r>
                                  <w:rPr>
                                    <w:rFonts w:hint="eastAsia"/>
                                    <w:b/>
                                  </w:rPr>
                                  <w:t>是否违反诊疗常规？</w:t>
                                </w:r>
                              </w:p>
                              <w:p w14:paraId="42A8375A">
                                <w:pPr>
                                  <w:rPr>
                                    <w:b/>
                                  </w:rPr>
                                </w:pPr>
                                <w:r>
                                  <w:rPr>
                                    <w:rFonts w:hint="eastAsia"/>
                                    <w:b/>
                                  </w:rPr>
                                  <w:t xml:space="preserve">          损害金额？</w:t>
                                </w:r>
                              </w:p>
                              <w:p w14:paraId="3A0FB708">
                                <w:pPr>
                                  <w:rPr>
                                    <w:b/>
                                  </w:rPr>
                                </w:pPr>
                                <w:r>
                                  <w:rPr>
                                    <w:rFonts w:hint="eastAsia"/>
                                    <w:b/>
                                  </w:rPr>
                                  <w:t xml:space="preserve">          在权限内处理</w:t>
                                </w:r>
                              </w:p>
                              <w:p w14:paraId="7E4B6E3F">
                                <w:pPr>
                                  <w:rPr>
                                    <w:b/>
                                  </w:rPr>
                                </w:pPr>
                                <w:r>
                                  <w:rPr>
                                    <w:rFonts w:hint="eastAsia"/>
                                    <w:b/>
                                  </w:rPr>
                                  <w:t xml:space="preserve">          核对资料完整</w:t>
                                </w:r>
                              </w:p>
                            </w:txbxContent>
                          </v:textbox>
                        </v:shape>
                        <v:shape id="AutoShape 118" o:spid="_x0000_s1026" o:spt="109" type="#_x0000_t109" style="position:absolute;left:331;top:1063;height:499;width:1848;" fillcolor="#FFFFFF" filled="t" stroked="t" coordsize="21600,21600" o:gfxdata="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MsiO/&#10;AAAA3AAAAA8AAAAAAAAAAQAgAAAAIgAAAGRycy9kb3ducmV2LnhtbFBLAQIUABQAAAAIAIdO4kAz&#10;LwWeOwAAADkAAAAQAAAAAAAAAAEAIAAAAA4BAABkcnMvc2hhcGV4bWwueG1sUEsFBgAAAAAGAAYA&#10;WwEAALgDAAAAAA==&#10;">
                          <v:fill on="t" focussize="0,0"/>
                          <v:stroke weight="2.5pt" color="#000000" joinstyle="miter"/>
                          <v:imagedata o:title=""/>
                          <o:lock v:ext="edit" aspectratio="f"/>
                          <v:textbox>
                            <w:txbxContent>
                              <w:p w14:paraId="183AB4BD">
                                <w:pPr>
                                  <w:jc w:val="center"/>
                                </w:pPr>
                                <w:r>
                                  <w:rPr>
                                    <w:rFonts w:hint="eastAsia"/>
                                  </w:rPr>
                                  <w:t>广东</w:t>
                                </w:r>
                                <w:r>
                                  <w:rPr>
                                    <w:rFonts w:hint="eastAsia"/>
                                    <w:lang w:eastAsia="zh-CN"/>
                                  </w:rPr>
                                  <w:t>和谐</w:t>
                                </w:r>
                                <w:r>
                                  <w:rPr>
                                    <w:rFonts w:hint="eastAsia"/>
                                  </w:rPr>
                                  <w:t>医调委</w:t>
                                </w:r>
                              </w:p>
                            </w:txbxContent>
                          </v:textbox>
                        </v:shape>
                        <v:shape id="AutoShape 119" o:spid="_x0000_s1026" o:spt="109" type="#_x0000_t109" style="position:absolute;left:3180;top:1050;height:499;width:1644;" fillcolor="#FFFFFF" filled="t" stroked="t" coordsize="21600,21600" o:gfxdata="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BMmUb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14:paraId="458D4B49">
                                <w:pPr>
                                  <w:jc w:val="center"/>
                                </w:pPr>
                                <w:r>
                                  <w:rPr>
                                    <w:rFonts w:hint="eastAsia"/>
                                    <w:lang w:val="en-US" w:eastAsia="zh-CN"/>
                                  </w:rPr>
                                  <w:t>保险</w:t>
                                </w:r>
                                <w:r>
                                  <w:rPr>
                                    <w:rFonts w:hint="eastAsia"/>
                                  </w:rPr>
                                  <w:t>经纪公司</w:t>
                                </w:r>
                              </w:p>
                            </w:txbxContent>
                          </v:textbox>
                        </v:shape>
                        <v:shape id="AutoShape 120" o:spid="_x0000_s1026" o:spt="34" type="#_x0000_t34" style="position:absolute;left:1611;top:105;height:1352;width:564;rotation:5898240f;" filled="f" stroked="t" coordsize="21600,21600" o:gfxdata="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eVEq8AAAA&#10;3AAAAA8AAAAAAAAAAQAgAAAAIgAAAGRycy9kb3ducmV2LnhtbFBLAQIUABQAAAAIAIdO4kAzLwWe&#10;OwAAADkAAAAQAAAAAAAAAAEAIAAAAAsBAABkcnMvc2hhcGV4bWwueG1sUEsFBgAAAAAGAAYAWwEA&#10;ALUDAAAAAA==&#10;" adj="10762">
                          <v:fill on="f" focussize="0,0"/>
                          <v:stroke color="#000000" joinstyle="miter" endarrow="block"/>
                          <v:imagedata o:title=""/>
                          <o:lock v:ext="edit" aspectratio="f"/>
                        </v:shape>
                        <v:shape id="AutoShape 121" o:spid="_x0000_s1026" o:spt="36" type="#_x0000_t36" style="position:absolute;left:1869;top:5490;flip:x;height:3057;width:1158;rotation:-5898240f;" filled="f" stroked="t" coordsize="21600,21600" o:gfxdata="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TrsAAADc&#10;AAAADwAAAAAAAAABACAAAAAiAAAAZHJzL2Rvd25yZXYueG1sUEsBAhQAFAAAAAgAh07iQDMvBZ47&#10;AAAAOQAAABAAAAAAAAAAAQAgAAAACgEAAGRycy9zaGFwZXhtbC54bWxQSwUGAAAAAAYABgBbAQAA&#10;tAMAAAAA&#10;" adj="-6985,10956,28604">
                          <v:fill on="f" focussize="0,0"/>
                          <v:stroke color="#000000" joinstyle="miter" endarrow="block"/>
                          <v:imagedata o:title=""/>
                          <o:lock v:ext="edit" aspectratio="f"/>
                        </v:shape>
                        <v:shape id="AutoShape 123" o:spid="_x0000_s1026" o:spt="34" type="#_x0000_t34" style="position:absolute;left:1329;top:1406;flip:x;height:1353;width:1085;rotation:5898240f;" filled="f" stroked="t" coordsize="21600,21600" o:gfxdata="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2J62bsAAADc&#10;AAAADwAAAAAAAAABACAAAAAiAAAAZHJzL2Rvd25yZXYueG1sUEsBAhQAFAAAAAgAh07iQDMvBZ47&#10;AAAAOQAAABAAAAAAAAAAAQAgAAAACgEAAGRycy9zaGFwZXhtbC54bWxQSwUGAAAAAAYABgBbAQAA&#10;tAMAAAAA&#10;" adj="10790">
                          <v:fill on="f" focussize="0,0"/>
                          <v:stroke color="#000000" joinstyle="miter" endarrow="block"/>
                          <v:imagedata o:title=""/>
                          <o:lock v:ext="edit" aspectratio="f"/>
                        </v:shape>
                        <v:shape id="AutoShape 124" o:spid="_x0000_s1026" o:spt="109" type="#_x0000_t109" style="position:absolute;left:1860;top:1800;height:499;width:1417;" fillcolor="#FFFFFF" filled="t" stroked="t" coordsize="21600,21600" o:gfxdata="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KHZr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425FEED9">
                                <w:pPr>
                                  <w:jc w:val="center"/>
                                </w:pPr>
                                <w:r>
                                  <w:rPr>
                                    <w:rFonts w:hint="eastAsia"/>
                                  </w:rPr>
                                  <w:t>医院会诊</w:t>
                                </w:r>
                              </w:p>
                            </w:txbxContent>
                          </v:textbox>
                        </v:shape>
                        <v:shape id="AutoShape 125" o:spid="_x0000_s1026" o:spt="109" type="#_x0000_t109" style="position:absolute;left:3045;top:5373;height:510;width:1814;" fillcolor="#FFFFFF" filled="t" stroked="t" coordsize="21600,21600" o:gfxdata="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4i/b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191B860D">
                                <w:pPr>
                                  <w:jc w:val="center"/>
                                </w:pPr>
                                <w:r>
                                  <w:rPr>
                                    <w:rFonts w:hint="eastAsia"/>
                                  </w:rPr>
                                  <w:t>患方不同意</w:t>
                                </w:r>
                              </w:p>
                            </w:txbxContent>
                          </v:textbox>
                        </v:shape>
                        <v:shape id="AutoShape 126" o:spid="_x0000_s1026" o:spt="109" type="#_x0000_t109" style="position:absolute;left:0;top:5373;height:510;width:1701;" fillcolor="#FFFFFF" filled="t" stroked="t" coordsize="21600,21600" o:gfxdata="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e6ib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4DB45920">
                                <w:pPr>
                                  <w:jc w:val="center"/>
                                </w:pPr>
                                <w:r>
                                  <w:rPr>
                                    <w:rFonts w:hint="eastAsia"/>
                                  </w:rPr>
                                  <w:t>患方同意</w:t>
                                </w:r>
                              </w:p>
                            </w:txbxContent>
                          </v:textbox>
                        </v:shape>
                        <v:shape id="AutoShape 127" o:spid="_x0000_s1026" o:spt="34" type="#_x0000_t34" style="position:absolute;left:1204;top:4007;height:1663;width:1025;rotation:5898240f;" filled="f" stroked="t" coordsize="21600,21600" o:gfxdata="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OrNvQAA&#10;ANwAAAAPAAAAAAAAAAEAIAAAACIAAABkcnMvZG93bnJldi54bWxQSwECFAAUAAAACACHTuJAMy8F&#10;njsAAAA5AAAAEAAAAAAAAAABACAAAAAMAQAAZHJzL3NoYXBleG1sLnhtbFBLBQYAAAAABgAGAFsB&#10;AAC2AwAAAAA=&#10;" adj="10789">
                          <v:fill on="f" focussize="0,0"/>
                          <v:stroke color="#000000" joinstyle="miter" endarrow="block"/>
                          <v:imagedata o:title=""/>
                          <o:lock v:ext="edit" aspectratio="f"/>
                        </v:shape>
                        <v:shape id="AutoShape 128" o:spid="_x0000_s1026" o:spt="34" type="#_x0000_t34" style="position:absolute;left:2726;top:4147;flip:x;height:1382;width:1025;rotation:5898240f;" filled="f" stroked="t" coordsize="21600,21600" o:gfxdata="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WNL4A&#10;AADcAAAADwAAAAAAAAABACAAAAAiAAAAZHJzL2Rvd25yZXYueG1sUEsBAhQAFAAAAAgAh07iQDMv&#10;BZ47AAAAOQAAABAAAAAAAAAAAQAgAAAADQEAAGRycy9zaGFwZXhtbC54bWxQSwUGAAAAAAYABgBb&#10;AQAAtwMAAAAA&#10;" adj="10789">
                          <v:fill on="f" focussize="0,0"/>
                          <v:stroke color="#000000" joinstyle="miter" endarrow="block"/>
                          <v:imagedata o:title=""/>
                          <o:lock v:ext="edit" aspectratio="f"/>
                        </v:shape>
                        <v:shape id="AutoShape 8" o:spid="_x0000_s1026" o:spt="109" type="#_x0000_t109" style="position:absolute;left:1740;top:4683;height:510;width:1701;" fillcolor="#FFFFFF" filled="t" stroked="t" coordsize="21600,21600" o:gfxdata="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Uk/r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03D5563C">
                                <w:pPr>
                                  <w:jc w:val="center"/>
                                </w:pPr>
                                <w:r>
                                  <w:rPr>
                                    <w:rFonts w:hint="eastAsia"/>
                                  </w:rPr>
                                  <w:t>进入和解流程</w:t>
                                </w:r>
                              </w:p>
                            </w:txbxContent>
                          </v:textbox>
                        </v:shape>
                      </v:group>
                    </v:group>
                    <v:shape id="AutoShape 132" o:spid="_x0000_s1026" o:spt="109" type="#_x0000_t109" style="position:absolute;left:0;top:8603;height:510;width:1701;" fillcolor="#FFFFFF" filled="t" stroked="t" coordsize="21600,21600" o:gfxdata="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qwjL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14:paraId="7841F720">
                            <w:pPr>
                              <w:ind w:firstLine="105" w:firstLineChars="50"/>
                              <w:jc w:val="center"/>
                            </w:pPr>
                            <w:r>
                              <w:rPr>
                                <w:rFonts w:hint="eastAsia"/>
                              </w:rPr>
                              <w:t>支付给患方</w:t>
                            </w:r>
                          </w:p>
                        </w:txbxContent>
                      </v:textbox>
                    </v:shape>
                    <v:shape id="AutoShape 135" o:spid="_x0000_s1026" o:spt="109" type="#_x0000_t109" style="position:absolute;left:3092;top:8601;height:510;width:1701;" fillcolor="#FFFFFF" filled="t" stroked="t" coordsize="21600,21600" o:gfxdata="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YVF74A&#10;AADcAAAADwAAAAAAAAABACAAAAAiAAAAZHJzL2Rvd25yZXYueG1sUEsBAhQAFAAAAAgAh07iQDMv&#10;BZ47AAAAOQAAABAAAAAAAAAAAQAgAAAADQEAAGRycy9zaGFwZXhtbC54bWxQSwUGAAAAAAYABgBb&#10;AQAAtwMAAAAA&#10;">
                      <v:fill on="t" focussize="0,0"/>
                      <v:stroke weight="2.5pt" color="#000000" joinstyle="miter"/>
                      <v:imagedata o:title=""/>
                      <o:lock v:ext="edit" aspectratio="f"/>
                      <v:textbox>
                        <w:txbxContent>
                          <w:p w14:paraId="18BA60C8">
                            <w:r>
                              <w:rPr>
                                <w:rFonts w:hint="eastAsia"/>
                              </w:rPr>
                              <w:t>或支付给医院</w:t>
                            </w:r>
                          </w:p>
                        </w:txbxContent>
                      </v:textbox>
                    </v:shape>
                    <v:shape id="AutoShape 155" o:spid="_x0000_s1026" o:spt="109" type="#_x0000_t109" style="position:absolute;left:3028;top:7254;height:510;width:1928;" fillcolor="#FFFFFF" filled="t" stroked="t" coordsize="21600,21600" o:gfxdata="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dB2N7sAAADc&#10;AAAADwAAAAAAAAABACAAAAAiAAAAZHJzL2Rvd25yZXYueG1sUEsBAhQAFAAAAAgAh07iQDMvBZ47&#10;AAAAOQAAABAAAAAAAAAAAQAgAAAACgEAAGRycy9zaGFwZXhtbC54bWxQSwUGAAAAAAYABgBbAQAA&#10;tAMAAAAA&#10;">
                      <v:fill on="t" focussize="0,0"/>
                      <v:stroke weight="2.5pt" color="#000000" joinstyle="miter"/>
                      <v:imagedata o:title=""/>
                      <o:lock v:ext="edit" aspectratio="f"/>
                      <v:textbox>
                        <w:txbxContent>
                          <w:p w14:paraId="08D5ED26">
                            <w:pPr>
                              <w:ind w:firstLine="105" w:firstLineChars="50"/>
                              <w:jc w:val="center"/>
                            </w:pPr>
                            <w:r>
                              <w:rPr>
                                <w:rFonts w:hint="eastAsia"/>
                              </w:rPr>
                              <w:t>医患双方接受</w:t>
                            </w:r>
                          </w:p>
                        </w:txbxContent>
                      </v:textbox>
                    </v:shape>
                    <v:shape id="AutoShape 158" o:spid="_x0000_s1026" o:spt="109" type="#_x0000_t109" style="position:absolute;left:13;top:7554;height:510;width:1701;" fillcolor="#FFFFFF" filled="t" stroked="t" coordsize="21600,21600" o:gfxdata="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YEMjvQAA&#10;ANwAAAAPAAAAAAAAAAEAIAAAACIAAABkcnMvZG93bnJldi54bWxQSwECFAAUAAAACACHTuJAMy8F&#10;njsAAAA5AAAAEAAAAAAAAAABACAAAAAMAQAAZHJzL3NoYXBleG1sLnhtbFBLBQYAAAAABgAGAFsB&#10;AAC2AwAAAAA=&#10;">
                      <v:fill on="t" focussize="0,0"/>
                      <v:stroke weight="1pt" color="#000000" joinstyle="miter" dashstyle="dash"/>
                      <v:imagedata o:title=""/>
                      <o:lock v:ext="edit" aspectratio="f"/>
                      <v:textbox>
                        <w:txbxContent>
                          <w:p w14:paraId="7BF86185">
                            <w:pPr>
                              <w:ind w:firstLine="105" w:firstLineChars="50"/>
                              <w:jc w:val="center"/>
                              <w:rPr>
                                <w:b/>
                              </w:rPr>
                            </w:pPr>
                            <w:r>
                              <w:rPr>
                                <w:rFonts w:hint="eastAsia"/>
                                <w:b/>
                              </w:rPr>
                              <w:t>认定保险责任</w:t>
                            </w:r>
                          </w:p>
                        </w:txbxContent>
                      </v:textbox>
                    </v:shape>
                    <v:shape id="AutoShape 159" o:spid="_x0000_s1026" o:spt="34" type="#_x0000_t34" style="position:absolute;left:103;top:6766;height:2;width:1479;rotation:5898240f;" filled="f" stroked="t" coordsize="21600,21600" o:gfxdata="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BoH74A&#10;AADcAAAADwAAAAAAAAABACAAAAAiAAAAZHJzL2Rvd25yZXYueG1sUEsBAhQAFAAAAAgAh07iQDMv&#10;BZ47AAAAOQAAABAAAAAAAAAAAQAgAAAADQEAAGRycy9zaGFwZXhtbC54bWxQSwUGAAAAAAYABgBb&#10;AQAAtwMAAAAA&#10;" adj="10983">
                      <v:fill on="f" focussize="0,0"/>
                      <v:stroke color="#000000" joinstyle="miter" endarrow="block"/>
                      <v:imagedata o:title=""/>
                      <o:lock v:ext="edit" aspectratio="f"/>
                    </v:shape>
                    <v:shape id="AutoShape 131" o:spid="_x0000_s1026" o:spt="109" type="#_x0000_t109" style="position:absolute;left:17;top:6606;height:510;width:1836;" fillcolor="#FFFFFF" filled="t" stroked="t" coordsize="21600,21600" o:gfxdata="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C6EC/&#10;AAAA3AAAAA8AAAAAAAAAAQAgAAAAIgAAAGRycy9kb3ducmV2LnhtbFBLAQIUABQAAAAIAIdO4kAz&#10;LwWeOwAAADkAAAAQAAAAAAAAAAEAIAAAAA4BAABkcnMvc2hhcGV4bWwueG1sUEsFBgAAAAAGAAYA&#10;WwEAALgDAAAAAA==&#10;">
                      <v:fill on="t" focussize="0,0"/>
                      <v:stroke weight="2.5pt" color="#000000" joinstyle="miter"/>
                      <v:imagedata o:title=""/>
                      <o:lock v:ext="edit" aspectratio="f"/>
                      <v:textbox>
                        <w:txbxContent>
                          <w:p w14:paraId="75FADDA7">
                            <w:pPr>
                              <w:rPr>
                                <w:rFonts w:hint="eastAsia"/>
                              </w:rPr>
                            </w:pPr>
                            <w:r>
                              <w:rPr>
                                <w:rFonts w:hint="eastAsia"/>
                              </w:rPr>
                              <w:t>提交保险人</w:t>
                            </w:r>
                            <w:r>
                              <w:rPr>
                                <w:rFonts w:hint="eastAsia"/>
                                <w:lang w:eastAsia="zh-CN"/>
                              </w:rPr>
                              <w:t>索赔</w:t>
                            </w:r>
                          </w:p>
                        </w:txbxContent>
                      </v:textbox>
                    </v:shape>
                    <v:shape id="AutoShape 137" o:spid="_x0000_s1026" o:spt="109" type="#_x0000_t109" style="position:absolute;left:3253;top:6351;height:510;width:1701;" fillcolor="#FFFFFF" filled="t" stroked="t" coordsize="21600,21600" o:gfxdata="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fgu7sAAADc&#10;AAAADwAAAAAAAAABACAAAAAiAAAAZHJzL2Rvd25yZXYueG1sUEsBAhQAFAAAAAgAh07iQDMvBZ47&#10;AAAAOQAAABAAAAAAAAAAAQAgAAAACgEAAGRycy9zaGFwZXhtbC54bWxQSwUGAAAAAAYABgBbAQAA&#10;tAMAAAAA&#10;">
                      <v:fill on="t" focussize="0,0"/>
                      <v:stroke weight="1pt" color="#000000" joinstyle="miter" dashstyle="dash"/>
                      <v:imagedata o:title=""/>
                      <o:lock v:ext="edit" aspectratio="f"/>
                      <v:textbox>
                        <w:txbxContent>
                          <w:p w14:paraId="13A18611">
                            <w:pPr>
                              <w:jc w:val="center"/>
                              <w:rPr>
                                <w:rFonts w:hint="eastAsia" w:eastAsia="宋体"/>
                                <w:b/>
                                <w:lang w:eastAsia="zh-CN"/>
                              </w:rPr>
                            </w:pPr>
                            <w:r>
                              <w:rPr>
                                <w:rFonts w:hint="eastAsia"/>
                                <w:b/>
                              </w:rPr>
                              <w:t>引导</w:t>
                            </w:r>
                            <w:r>
                              <w:rPr>
                                <w:rFonts w:hint="eastAsia"/>
                                <w:b/>
                                <w:lang w:eastAsia="zh-CN"/>
                              </w:rPr>
                              <w:t>申请调解</w:t>
                            </w:r>
                          </w:p>
                        </w:txbxContent>
                      </v:textbox>
                    </v:shape>
                    <v:shape id="AutoShape 162" o:spid="_x0000_s1026" o:spt="34" type="#_x0000_t34" style="position:absolute;left:4874;top:5795;height:31;width:749;" filled="f" stroked="t" coordsize="21600,21600" o:gfxdata="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zynS/&#10;AAAA3AAAAA8AAAAAAAAAAQAgAAAAIgAAAGRycy9kb3ducmV2LnhtbFBLAQIUABQAAAAIAIdO4kAz&#10;LwWeOwAAADkAAAAQAAAAAAAAAAEAIAAAAA4BAABkcnMvc2hhcGV4bWwueG1sUEsFBgAAAAAGAAYA&#10;WwEAALgDAAAAAA==&#10;" adj="10786">
                      <v:fill on="f" focussize="0,0"/>
                      <v:stroke color="#000000" joinstyle="miter" endarrow="block"/>
                      <v:imagedata o:title=""/>
                      <o:lock v:ext="edit" aspectratio="f"/>
                    </v:shape>
                    <v:shape id="AutoShape 163" o:spid="_x0000_s1026" o:spt="32" type="#_x0000_t32" style="position:absolute;left:4956;top:7509;height:1;width:665;" filled="f" stroked="t" coordsize="21600,21600" o:gfxdata="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CCw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65" o:spid="_x0000_s1026" o:spt="34" type="#_x0000_t34" style="position:absolute;left:1716;top:5795;height:1714;width:1312;rotation:11796480f;" filled="f" stroked="t" coordsize="21600,21600" o:gfxdata="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qap+/&#10;AAAA3AAAAA8AAAAAAAAAAQAgAAAAIgAAAGRycy9kb3ducmV2LnhtbFBLAQIUABQAAAAIAIdO4kAz&#10;LwWeOwAAADkAAAAQAAAAAAAAAAEAIAAAAA4BAABkcnMvc2hhcGV4bWwueG1sUEsFBgAAAAAGAAYA&#10;WwEAALgDAAAAAA==&#10;" adj="10800">
                      <v:fill on="f" focussize="0,0"/>
                      <v:stroke color="#000000" joinstyle="miter" endarrow="block"/>
                      <v:imagedata o:title=""/>
                      <o:lock v:ext="edit" aspectratio="f"/>
                    </v:shape>
                    <v:shape id="AutoShape 168" o:spid="_x0000_s1026" o:spt="34" type="#_x0000_t34" style="position:absolute;left:2125;top:6783;flip:x;height:3079;width:512;rotation:5898240f;" filled="f" stroked="t" coordsize="21600,21600" o:gfxdata="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cCZOugAAANwA&#10;AAAPAAAAAAAAAAEAIAAAACIAAABkcnMvZG93bnJldi54bWxQSwECFAAUAAAACACHTuJAMy8FnjsA&#10;AAA5AAAAEAAAAAAAAAABACAAAAAJAQAAZHJzL3NoYXBleG1sLnhtbFBLBQYAAAAABgAGAFsBAACz&#10;AwAAAAA=&#10;" adj="10252">
                      <v:fill on="f" focussize="0,0"/>
                      <v:stroke color="#000000" joinstyle="miter" endarrow="block"/>
                      <v:imagedata o:title=""/>
                      <o:lock v:ext="edit" aspectratio="f"/>
                    </v:shape>
                  </v:group>
                  <v:shape id="五边形 3" o:spid="_x0000_s1026" o:spt="15" type="#_x0000_t15" style="position:absolute;left:3570605;top:4518660;height:484632;width:936000;v-text-anchor:middle;" fillcolor="#6D6D6D" filled="t" stroked="t" coordsize="21600,21600" o:gfxdata="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NwS7vQAA&#10;ANwAAAAPAAAAAAAAAAEAIAAAACIAAABkcnMvZG93bnJldi54bWxQSwECFAAUAAAACACHTuJAMy8F&#10;njsAAAA5AAAAEAAAAAAAAAABACAAAAAMAQAAZHJzL3NoYXBleG1sLnhtbFBLBQYAAAAABgAGAFsB&#10;AAC2AwAAAAA=&#10;" adj="16009">
                    <v:fill on="t" focussize="0,0"/>
                    <v:stroke weight="2pt" color="#4395D1" joinstyle="miter"/>
                    <v:imagedata o:title=""/>
                    <o:lock v:ext="edit" aspectratio="f"/>
                    <v:textbox>
                      <w:txbxContent>
                        <w:p w14:paraId="64CA5618">
                          <w:pPr>
                            <w:jc w:val="center"/>
                            <w:rPr>
                              <w:color w:val="000000"/>
                            </w:rPr>
                          </w:pPr>
                          <w:r>
                            <w:rPr>
                              <w:rFonts w:hint="eastAsia"/>
                              <w:color w:val="000000"/>
                            </w:rPr>
                            <w:t>进入调解程序</w:t>
                          </w:r>
                        </w:p>
                      </w:txbxContent>
                    </v:textbox>
                  </v:shape>
                  <v:shape id="五边形 4" o:spid="_x0000_s1026" o:spt="15" type="#_x0000_t15" style="position:absolute;left:3550285;top:3442970;height:484505;width:935990;v-text-anchor:middle;" fillcolor="#6D6D6D" filled="t" stroked="t" coordsize="21600,21600" o:gfxdata="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wKW8AAAA&#10;3AAAAA8AAAAAAAAAAQAgAAAAIgAAAGRycy9kb3ducmV2LnhtbFBLAQIUABQAAAAIAIdO4kAzLwWe&#10;OwAAADkAAAAQAAAAAAAAAAEAIAAAAAsBAABkcnMvc2hhcGV4bWwueG1sUEsFBgAAAAAGAAYAWwEA&#10;ALUDAAAAAA==&#10;" adj="16010">
                    <v:fill on="t" focussize="0,0"/>
                    <v:stroke weight="2pt" color="#4395D1" joinstyle="miter"/>
                    <v:imagedata o:title=""/>
                    <o:lock v:ext="edit" aspectratio="f"/>
                    <v:textbox>
                      <w:txbxContent>
                        <w:p w14:paraId="5DB6CEEA">
                          <w:pPr>
                            <w:ind w:firstLine="105" w:firstLineChars="50"/>
                            <w:jc w:val="center"/>
                          </w:pPr>
                          <w:r>
                            <w:rPr>
                              <w:rFonts w:hint="eastAsia"/>
                              <w:color w:val="000000"/>
                            </w:rPr>
                            <w:t>引导走</w:t>
                          </w:r>
                          <w:r>
                            <w:rPr>
                              <w:rFonts w:hint="eastAsia"/>
                            </w:rPr>
                            <w:t>诉讼</w:t>
                          </w:r>
                        </w:p>
                        <w:p w14:paraId="223DE1E3">
                          <w:pPr>
                            <w:ind w:firstLine="105" w:firstLineChars="50"/>
                          </w:pPr>
                          <w:r>
                            <w:rPr>
                              <w:rFonts w:hint="eastAsia"/>
                            </w:rPr>
                            <w:t>导走诉讼</w:t>
                          </w:r>
                        </w:p>
                        <w:p w14:paraId="7D97E14B">
                          <w:pPr>
                            <w:ind w:firstLine="105" w:firstLineChars="50"/>
                            <w:jc w:val="center"/>
                          </w:pPr>
                          <w:r>
                            <w:rPr>
                              <w:rFonts w:hint="eastAsia"/>
                            </w:rPr>
                            <w:t>讼</w:t>
                          </w:r>
                        </w:p>
                        <w:p w14:paraId="49B10398">
                          <w:pPr>
                            <w:pStyle w:val="8"/>
                            <w:spacing w:before="0" w:beforeLines="0" w:beforeAutospacing="0" w:after="0" w:afterLines="0" w:afterAutospacing="0"/>
                            <w:jc w:val="center"/>
                          </w:pPr>
                          <w:r>
                            <w:rPr>
                              <w:rFonts w:hint="eastAsia" w:cs="Times New Roman"/>
                              <w:kern w:val="2"/>
                              <w:sz w:val="21"/>
                              <w:szCs w:val="21"/>
                            </w:rPr>
                            <w:t>走司法诉讼</w:t>
                          </w:r>
                        </w:p>
                      </w:txbxContent>
                    </v:textbox>
                  </v:shape>
                </v:group>
              </v:group>
            </w:pict>
          </mc:Fallback>
        </mc:AlternateContent>
      </w:r>
    </w:p>
    <w:p w14:paraId="39FFE715">
      <w:pPr>
        <w:jc w:val="left"/>
        <w:rPr>
          <w:rFonts w:ascii="宋体" w:hAnsi="宋体"/>
          <w:b/>
          <w:sz w:val="32"/>
          <w:szCs w:val="32"/>
        </w:rPr>
      </w:pPr>
    </w:p>
    <w:p w14:paraId="7335A7EB">
      <w:pPr>
        <w:jc w:val="left"/>
        <w:rPr>
          <w:rFonts w:ascii="宋体" w:hAnsi="宋体"/>
          <w:b/>
          <w:sz w:val="32"/>
          <w:szCs w:val="32"/>
        </w:rPr>
      </w:pPr>
      <w:r>
        <mc:AlternateContent>
          <mc:Choice Requires="wps">
            <w:drawing>
              <wp:anchor distT="0" distB="0" distL="114300" distR="114300" simplePos="0" relativeHeight="251662336" behindDoc="0" locked="0" layoutInCell="1" allowOverlap="1">
                <wp:simplePos x="0" y="0"/>
                <wp:positionH relativeFrom="column">
                  <wp:posOffset>2313305</wp:posOffset>
                </wp:positionH>
                <wp:positionV relativeFrom="paragraph">
                  <wp:posOffset>-235585</wp:posOffset>
                </wp:positionV>
                <wp:extent cx="349885" cy="855980"/>
                <wp:effectExtent l="5080" t="0" r="53340" b="12065"/>
                <wp:wrapNone/>
                <wp:docPr id="431" name="AutoShape 14"/>
                <wp:cNvGraphicFramePr/>
                <a:graphic xmlns:a="http://schemas.openxmlformats.org/drawingml/2006/main">
                  <a:graphicData uri="http://schemas.microsoft.com/office/word/2010/wordprocessingShape">
                    <wps:wsp>
                      <wps:cNvCnPr/>
                      <wps:spPr>
                        <a:xfrm rot="-5400000" flipH="1">
                          <a:off x="0" y="0"/>
                          <a:ext cx="349885" cy="855980"/>
                        </a:xfrm>
                        <a:prstGeom prst="bentConnector3">
                          <a:avLst>
                            <a:gd name="adj1" fmla="val 4473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AutoShape 14" o:spid="_x0000_s1026" o:spt="34" type="#_x0000_t34" style="position:absolute;left:0pt;flip:x;margin-left:182.15pt;margin-top:-18.55pt;height:67.4pt;width:27.55pt;rotation:5898240f;z-index:251662336;mso-width-relative:page;mso-height-relative:page;" filled="f" stroked="t" coordsize="21600,21600" o:gfxdata="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uBhvaAAAACgEA&#10;AA8AAAAAAAAAAQAgAAAAIgAAAGRycy9kb3ducmV2LnhtbFBLAQIUABQAAAAIAIdO4kAnzwIpGAIA&#10;ADcEAAAOAAAAAAAAAAEAIAAAACkBAABkcnMvZTJvRG9jLnhtbFBLBQYAAAAABgAGAFkBAACzBQAA&#10;AAA=&#10;" adj="9663">
                <v:fill on="f" focussize="0,0"/>
                <v:stroke color="#000000" joinstyle="miter" endarrow="block"/>
                <v:imagedata o:title=""/>
                <o:lock v:ext="edit" aspectratio="f"/>
              </v:shape>
            </w:pict>
          </mc:Fallback>
        </mc:AlternateContent>
      </w:r>
    </w:p>
    <w:p w14:paraId="7B3D933E">
      <w:pPr>
        <w:jc w:val="left"/>
        <w:rPr>
          <w:rFonts w:ascii="宋体" w:hAnsi="宋体"/>
          <w:b/>
          <w:sz w:val="32"/>
          <w:szCs w:val="32"/>
        </w:rPr>
      </w:pPr>
    </w:p>
    <w:p w14:paraId="29834F4B">
      <w:pPr>
        <w:jc w:val="left"/>
        <w:rPr>
          <w:rFonts w:ascii="宋体" w:hAnsi="宋体"/>
          <w:b/>
          <w:sz w:val="32"/>
          <w:szCs w:val="32"/>
        </w:rPr>
      </w:pPr>
    </w:p>
    <w:p w14:paraId="322BB2E1">
      <w:pPr>
        <w:jc w:val="left"/>
        <w:rPr>
          <w:rFonts w:ascii="宋体" w:hAnsi="宋体"/>
          <w:b/>
          <w:sz w:val="32"/>
          <w:szCs w:val="32"/>
        </w:rPr>
      </w:pPr>
    </w:p>
    <w:p w14:paraId="6BD75ACE">
      <w:pPr>
        <w:jc w:val="left"/>
        <w:rPr>
          <w:rFonts w:ascii="宋体" w:hAnsi="宋体"/>
          <w:b/>
          <w:sz w:val="32"/>
          <w:szCs w:val="32"/>
        </w:rPr>
      </w:pPr>
    </w:p>
    <w:p w14:paraId="3BFD28CE">
      <w:pPr>
        <w:jc w:val="left"/>
        <w:rPr>
          <w:rFonts w:ascii="宋体" w:hAnsi="宋体"/>
          <w:b/>
          <w:sz w:val="32"/>
          <w:szCs w:val="32"/>
        </w:rPr>
      </w:pPr>
    </w:p>
    <w:p w14:paraId="7C20A680">
      <w:pPr>
        <w:jc w:val="left"/>
        <w:rPr>
          <w:rFonts w:ascii="宋体" w:hAnsi="宋体"/>
          <w:b/>
          <w:sz w:val="32"/>
          <w:szCs w:val="32"/>
        </w:rPr>
      </w:pPr>
    </w:p>
    <w:p w14:paraId="0EE5178F">
      <w:pPr>
        <w:jc w:val="left"/>
        <w:rPr>
          <w:rFonts w:ascii="宋体" w:hAnsi="宋体"/>
          <w:b/>
          <w:sz w:val="32"/>
          <w:szCs w:val="32"/>
        </w:rPr>
      </w:pPr>
    </w:p>
    <w:p w14:paraId="23DCD775">
      <w:pPr>
        <w:jc w:val="left"/>
        <w:rPr>
          <w:rFonts w:ascii="宋体" w:hAnsi="宋体"/>
          <w:b/>
          <w:sz w:val="32"/>
          <w:szCs w:val="32"/>
        </w:rPr>
      </w:pPr>
    </w:p>
    <w:p w14:paraId="65E12D02">
      <w:pPr>
        <w:jc w:val="left"/>
        <w:rPr>
          <w:rFonts w:ascii="宋体" w:hAnsi="宋体"/>
          <w:b/>
          <w:sz w:val="32"/>
          <w:szCs w:val="32"/>
        </w:rPr>
      </w:pPr>
    </w:p>
    <w:p w14:paraId="4B2D5CA2">
      <w:pPr>
        <w:jc w:val="left"/>
        <w:rPr>
          <w:rFonts w:ascii="宋体" w:hAnsi="宋体"/>
          <w:b/>
          <w:sz w:val="32"/>
          <w:szCs w:val="32"/>
        </w:rPr>
      </w:pPr>
    </w:p>
    <w:p w14:paraId="5D16918B">
      <w:pPr>
        <w:jc w:val="left"/>
        <w:rPr>
          <w:rFonts w:ascii="宋体" w:hAnsi="宋体"/>
          <w:b/>
          <w:sz w:val="32"/>
          <w:szCs w:val="32"/>
        </w:rPr>
      </w:pPr>
    </w:p>
    <w:p w14:paraId="3F66C24C">
      <w:pPr>
        <w:jc w:val="left"/>
        <w:rPr>
          <w:rFonts w:ascii="宋体" w:hAnsi="宋体"/>
          <w:b/>
          <w:sz w:val="32"/>
          <w:szCs w:val="32"/>
        </w:rPr>
      </w:pPr>
    </w:p>
    <w:p w14:paraId="23A721C8">
      <w:pPr>
        <w:jc w:val="left"/>
        <w:rPr>
          <w:rFonts w:ascii="宋体" w:hAnsi="宋体"/>
          <w:b/>
          <w:sz w:val="32"/>
          <w:szCs w:val="32"/>
        </w:rPr>
      </w:pPr>
    </w:p>
    <w:p w14:paraId="3654A6DF">
      <w:pPr>
        <w:jc w:val="left"/>
        <w:rPr>
          <w:rFonts w:ascii="宋体" w:hAnsi="宋体"/>
          <w:b/>
          <w:sz w:val="32"/>
          <w:szCs w:val="32"/>
        </w:rPr>
      </w:pPr>
    </w:p>
    <w:p w14:paraId="5B97DF77">
      <w:pPr>
        <w:jc w:val="left"/>
        <w:rPr>
          <w:rFonts w:ascii="宋体" w:hAnsi="宋体"/>
          <w:b/>
          <w:sz w:val="32"/>
          <w:szCs w:val="32"/>
        </w:rPr>
      </w:pPr>
    </w:p>
    <w:p w14:paraId="614EBB6D">
      <w:pPr>
        <w:jc w:val="left"/>
        <w:rPr>
          <w:rFonts w:hint="eastAsia" w:ascii="宋体" w:hAnsi="宋体"/>
          <w:b/>
          <w:sz w:val="32"/>
          <w:szCs w:val="32"/>
          <w:lang w:val="en-US" w:eastAsia="zh-CN"/>
        </w:rPr>
      </w:pPr>
    </w:p>
    <w:p w14:paraId="359C5E43">
      <w:pPr>
        <w:jc w:val="left"/>
        <w:rPr>
          <w:rFonts w:hint="eastAsia" w:ascii="宋体" w:hAnsi="宋体"/>
          <w:b/>
          <w:sz w:val="32"/>
          <w:szCs w:val="32"/>
          <w:lang w:val="en-US" w:eastAsia="zh-CN"/>
        </w:rPr>
      </w:pPr>
    </w:p>
    <w:p w14:paraId="18E57EA6">
      <w:pPr>
        <w:jc w:val="left"/>
        <w:rPr>
          <w:rFonts w:hint="eastAsia" w:ascii="宋体" w:hAnsi="宋体"/>
          <w:b/>
          <w:sz w:val="32"/>
          <w:szCs w:val="32"/>
          <w:lang w:val="en-US" w:eastAsia="zh-CN"/>
        </w:rPr>
      </w:pPr>
    </w:p>
    <w:p w14:paraId="0093E84A">
      <w:pPr>
        <w:jc w:val="left"/>
        <w:rPr>
          <w:rFonts w:hint="eastAsia" w:ascii="宋体" w:hAnsi="宋体"/>
          <w:b/>
          <w:sz w:val="32"/>
          <w:szCs w:val="32"/>
          <w:lang w:val="en-US" w:eastAsia="zh-CN"/>
        </w:rPr>
      </w:pPr>
    </w:p>
    <w:p w14:paraId="71208FAC">
      <w:pPr>
        <w:jc w:val="left"/>
        <w:rPr>
          <w:rFonts w:hint="eastAsia" w:ascii="宋体" w:hAnsi="宋体" w:eastAsia="宋体"/>
          <w:b/>
          <w:sz w:val="24"/>
          <w:szCs w:val="24"/>
          <w:lang w:val="en-US" w:eastAsia="zh-CN"/>
        </w:rPr>
      </w:pPr>
      <w:r>
        <w:rPr>
          <w:rFonts w:hint="eastAsia" w:ascii="宋体" w:hAnsi="宋体"/>
          <w:b/>
          <w:sz w:val="24"/>
          <w:szCs w:val="24"/>
          <w:lang w:val="en-US" w:eastAsia="zh-CN"/>
        </w:rPr>
        <w:t>3.诉讼案件处理流程图</w:t>
      </w:r>
    </w:p>
    <w:p w14:paraId="477CC67A"/>
    <w:p w14:paraId="2204D671">
      <w:pPr>
        <w:jc w:val="left"/>
        <w:rPr>
          <w:rFonts w:ascii="宋体" w:hAnsi="宋体"/>
          <w:b/>
          <w:sz w:val="21"/>
          <w:szCs w:val="21"/>
        </w:rPr>
      </w:pPr>
      <w:r>
        <w:rPr>
          <w:sz w:val="18"/>
        </w:rPr>
        <mc:AlternateContent>
          <mc:Choice Requires="wpg">
            <w:drawing>
              <wp:anchor distT="0" distB="0" distL="114300" distR="114300" simplePos="0" relativeHeight="251660288" behindDoc="0" locked="0" layoutInCell="1" allowOverlap="1">
                <wp:simplePos x="0" y="0"/>
                <wp:positionH relativeFrom="column">
                  <wp:posOffset>78105</wp:posOffset>
                </wp:positionH>
                <wp:positionV relativeFrom="paragraph">
                  <wp:posOffset>108585</wp:posOffset>
                </wp:positionV>
                <wp:extent cx="5086350" cy="8363585"/>
                <wp:effectExtent l="204470" t="5080" r="62230" b="13335"/>
                <wp:wrapNone/>
                <wp:docPr id="432" name="组合 320"/>
                <wp:cNvGraphicFramePr/>
                <a:graphic xmlns:a="http://schemas.openxmlformats.org/drawingml/2006/main">
                  <a:graphicData uri="http://schemas.microsoft.com/office/word/2010/wordprocessingGroup">
                    <wpg:wgp>
                      <wpg:cNvGrpSpPr/>
                      <wpg:grpSpPr>
                        <a:xfrm>
                          <a:off x="0" y="0"/>
                          <a:ext cx="5086350" cy="8363585"/>
                          <a:chOff x="3628" y="1849"/>
                          <a:chExt cx="8084" cy="13696"/>
                        </a:xfrm>
                      </wpg:grpSpPr>
                      <wpg:grpSp>
                        <wpg:cNvPr id="433" name="组合 315"/>
                        <wpg:cNvGrpSpPr/>
                        <wpg:grpSpPr>
                          <a:xfrm>
                            <a:off x="3628" y="1849"/>
                            <a:ext cx="8084" cy="12369"/>
                            <a:chOff x="3913" y="1847"/>
                            <a:chExt cx="8114" cy="13658"/>
                          </a:xfrm>
                        </wpg:grpSpPr>
                        <wpg:grpSp>
                          <wpg:cNvPr id="434" name="组合 313"/>
                          <wpg:cNvGrpSpPr/>
                          <wpg:grpSpPr>
                            <a:xfrm>
                              <a:off x="3913" y="1847"/>
                              <a:ext cx="8114" cy="13659"/>
                              <a:chOff x="3221" y="1847"/>
                              <a:chExt cx="8114" cy="13659"/>
                            </a:xfrm>
                          </wpg:grpSpPr>
                          <wpg:grpSp>
                            <wpg:cNvPr id="435" name="组合 42"/>
                            <wpg:cNvGrpSpPr/>
                            <wpg:grpSpPr>
                              <a:xfrm>
                                <a:off x="3277" y="1847"/>
                                <a:ext cx="8058" cy="13659"/>
                                <a:chOff x="3277" y="1847"/>
                                <a:chExt cx="8058" cy="13659"/>
                              </a:xfrm>
                            </wpg:grpSpPr>
                            <wps:wsp>
                              <wps:cNvPr id="436" name="直接箭头连接符 8"/>
                              <wps:cNvCnPr/>
                              <wps:spPr>
                                <a:xfrm>
                                  <a:off x="7216" y="2715"/>
                                  <a:ext cx="0" cy="4372"/>
                                </a:xfrm>
                                <a:prstGeom prst="straightConnector1">
                                  <a:avLst/>
                                </a:prstGeom>
                                <a:ln w="9525" cap="flat" cmpd="sng">
                                  <a:solidFill>
                                    <a:srgbClr val="000000"/>
                                  </a:solidFill>
                                  <a:prstDash val="solid"/>
                                  <a:round/>
                                  <a:headEnd type="none" w="med" len="med"/>
                                  <a:tailEnd type="triangle" w="med" len="med"/>
                                </a:ln>
                              </wps:spPr>
                              <wps:bodyPr/>
                            </wps:wsp>
                            <wpg:grpSp>
                              <wpg:cNvPr id="437" name="组合 40"/>
                              <wpg:cNvGrpSpPr/>
                              <wpg:grpSpPr>
                                <a:xfrm>
                                  <a:off x="3277" y="1847"/>
                                  <a:ext cx="8058" cy="13659"/>
                                  <a:chOff x="3277" y="1847"/>
                                  <a:chExt cx="8058" cy="13659"/>
                                </a:xfrm>
                              </wpg:grpSpPr>
                              <wps:wsp>
                                <wps:cNvPr id="438" name="Rectangle 79"/>
                                <wps:cNvSpPr/>
                                <wps:spPr>
                                  <a:xfrm>
                                    <a:off x="6160" y="3215"/>
                                    <a:ext cx="2178" cy="51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1565496">
                                      <w:pPr>
                                        <w:jc w:val="center"/>
                                        <w:rPr>
                                          <w:sz w:val="20"/>
                                          <w:szCs w:val="20"/>
                                        </w:rPr>
                                      </w:pPr>
                                      <w:r>
                                        <w:rPr>
                                          <w:rFonts w:hint="eastAsia"/>
                                          <w:sz w:val="20"/>
                                          <w:szCs w:val="20"/>
                                          <w:lang w:val="en-US" w:eastAsia="zh-CN"/>
                                        </w:rPr>
                                        <w:t>保险</w:t>
                                      </w:r>
                                      <w:r>
                                        <w:rPr>
                                          <w:rFonts w:hint="eastAsia"/>
                                          <w:sz w:val="20"/>
                                          <w:szCs w:val="20"/>
                                        </w:rPr>
                                        <w:t>经纪公司</w:t>
                                      </w:r>
                                    </w:p>
                                  </w:txbxContent>
                                </wps:txbx>
                                <wps:bodyPr vert="horz" anchor="t" upright="1"/>
                              </wps:wsp>
                              <wpg:grpSp>
                                <wpg:cNvPr id="439" name="组合 38"/>
                                <wpg:cNvGrpSpPr/>
                                <wpg:grpSpPr>
                                  <a:xfrm>
                                    <a:off x="3277" y="1847"/>
                                    <a:ext cx="8058" cy="13659"/>
                                    <a:chOff x="3277" y="1860"/>
                                    <a:chExt cx="8058" cy="13659"/>
                                  </a:xfrm>
                                </wpg:grpSpPr>
                                <wps:wsp>
                                  <wps:cNvPr id="440" name="肘形连接符 7"/>
                                  <wps:cNvCnPr>
                                    <a:stCxn id="46" idx="2"/>
                                    <a:endCxn id="50" idx="1"/>
                                  </wps:cNvCnPr>
                                  <wps:spPr>
                                    <a:xfrm rot="5400000" flipV="1">
                                      <a:off x="3409" y="12184"/>
                                      <a:ext cx="4014" cy="2085"/>
                                    </a:xfrm>
                                    <a:prstGeom prst="bentConnector2">
                                      <a:avLst/>
                                    </a:prstGeom>
                                    <a:ln w="9525" cap="flat" cmpd="sng">
                                      <a:solidFill>
                                        <a:srgbClr val="000000"/>
                                      </a:solidFill>
                                      <a:prstDash val="solid"/>
                                      <a:round/>
                                      <a:headEnd type="none" w="med" len="med"/>
                                      <a:tailEnd type="triangle" w="med" len="med"/>
                                    </a:ln>
                                  </wps:spPr>
                                  <wps:bodyPr/>
                                </wps:wsp>
                                <wps:wsp>
                                  <wps:cNvPr id="441" name="肘形连接符 49"/>
                                  <wps:cNvCnPr/>
                                  <wps:spPr>
                                    <a:xfrm>
                                      <a:off x="8601" y="13704"/>
                                      <a:ext cx="1971" cy="1226"/>
                                    </a:xfrm>
                                    <a:prstGeom prst="bentConnector3">
                                      <a:avLst>
                                        <a:gd name="adj1" fmla="val 100292"/>
                                      </a:avLst>
                                    </a:prstGeom>
                                    <a:ln w="9525" cap="flat" cmpd="sng">
                                      <a:solidFill>
                                        <a:srgbClr val="000000"/>
                                      </a:solidFill>
                                      <a:prstDash val="solid"/>
                                      <a:round/>
                                      <a:headEnd type="none" w="med" len="med"/>
                                      <a:tailEnd type="triangle" w="med" len="med"/>
                                    </a:ln>
                                  </wps:spPr>
                                  <wps:bodyPr/>
                                </wps:wsp>
                                <wps:wsp>
                                  <wps:cNvPr id="442" name="肘形连接符 30"/>
                                  <wps:cNvCnPr>
                                    <a:endCxn id="46" idx="0"/>
                                  </wps:cNvCnPr>
                                  <wps:spPr>
                                    <a:xfrm rot="5400000" flipV="1">
                                      <a:off x="8216" y="9319"/>
                                      <a:ext cx="1534" cy="954"/>
                                    </a:xfrm>
                                    <a:prstGeom prst="bentConnector3">
                                      <a:avLst>
                                        <a:gd name="adj1" fmla="val 2088"/>
                                      </a:avLst>
                                    </a:prstGeom>
                                    <a:ln w="9525" cap="flat" cmpd="sng">
                                      <a:solidFill>
                                        <a:srgbClr val="000000"/>
                                      </a:solidFill>
                                      <a:prstDash val="solid"/>
                                      <a:round/>
                                      <a:headEnd type="none" w="med" len="med"/>
                                      <a:tailEnd type="triangle" w="med" len="med"/>
                                    </a:ln>
                                  </wps:spPr>
                                  <wps:bodyPr/>
                                </wps:wsp>
                                <wps:wsp>
                                  <wps:cNvPr id="443" name="肘形连接符 35"/>
                                  <wps:cNvCnPr>
                                    <a:stCxn id="47" idx="1"/>
                                  </wps:cNvCnPr>
                                  <wps:spPr>
                                    <a:xfrm rot="-10800000" flipV="1">
                                      <a:off x="4386" y="9065"/>
                                      <a:ext cx="1608" cy="1551"/>
                                    </a:xfrm>
                                    <a:prstGeom prst="bentConnector3">
                                      <a:avLst>
                                        <a:gd name="adj1" fmla="val 100000"/>
                                      </a:avLst>
                                    </a:prstGeom>
                                    <a:ln w="9525" cap="flat" cmpd="sng">
                                      <a:solidFill>
                                        <a:srgbClr val="000000"/>
                                      </a:solidFill>
                                      <a:prstDash val="solid"/>
                                      <a:round/>
                                      <a:headEnd type="none" w="med" len="med"/>
                                      <a:tailEnd type="triangle" w="med" len="med"/>
                                    </a:ln>
                                  </wps:spPr>
                                  <wps:bodyPr/>
                                </wps:wsp>
                                <wps:wsp>
                                  <wps:cNvPr id="444" name="Rectangle 75"/>
                                  <wps:cNvSpPr/>
                                  <wps:spPr>
                                    <a:xfrm>
                                      <a:off x="6160" y="1860"/>
                                      <a:ext cx="2072" cy="87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77A95F1">
                                        <w:pPr>
                                          <w:jc w:val="center"/>
                                          <w:rPr>
                                            <w:sz w:val="20"/>
                                            <w:szCs w:val="20"/>
                                          </w:rPr>
                                        </w:pPr>
                                        <w:r>
                                          <w:rPr>
                                            <w:rFonts w:hint="eastAsia"/>
                                            <w:sz w:val="20"/>
                                            <w:szCs w:val="20"/>
                                          </w:rPr>
                                          <w:t>接到法院传票</w:t>
                                        </w:r>
                                      </w:p>
                                      <w:p w14:paraId="210B203B">
                                        <w:pPr>
                                          <w:jc w:val="center"/>
                                          <w:rPr>
                                            <w:sz w:val="20"/>
                                            <w:szCs w:val="20"/>
                                          </w:rPr>
                                        </w:pPr>
                                        <w:r>
                                          <w:rPr>
                                            <w:rFonts w:hint="eastAsia"/>
                                            <w:sz w:val="20"/>
                                            <w:szCs w:val="20"/>
                                          </w:rPr>
                                          <w:t>医院报案</w:t>
                                        </w:r>
                                      </w:p>
                                    </w:txbxContent>
                                  </wps:txbx>
                                  <wps:bodyPr vert="horz" anchor="t" upright="1"/>
                                </wps:wsp>
                                <wps:wsp>
                                  <wps:cNvPr id="445" name="Rectangle 76"/>
                                  <wps:cNvSpPr/>
                                  <wps:spPr>
                                    <a:xfrm>
                                      <a:off x="3277" y="3219"/>
                                      <a:ext cx="1657" cy="43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0758EAF">
                                        <w:pPr>
                                          <w:jc w:val="center"/>
                                          <w:rPr>
                                            <w:sz w:val="20"/>
                                            <w:szCs w:val="20"/>
                                          </w:rPr>
                                        </w:pPr>
                                        <w:r>
                                          <w:rPr>
                                            <w:rFonts w:hint="eastAsia"/>
                                            <w:sz w:val="20"/>
                                            <w:szCs w:val="20"/>
                                          </w:rPr>
                                          <w:t>保险公司</w:t>
                                        </w:r>
                                      </w:p>
                                    </w:txbxContent>
                                  </wps:txbx>
                                  <wps:bodyPr vert="horz" anchor="t" upright="1"/>
                                </wps:wsp>
                                <wps:wsp>
                                  <wps:cNvPr id="446" name="Rectangle 85"/>
                                  <wps:cNvSpPr/>
                                  <wps:spPr>
                                    <a:xfrm>
                                      <a:off x="4457" y="4677"/>
                                      <a:ext cx="1985" cy="2022"/>
                                    </a:xfrm>
                                    <a:prstGeom prst="rect">
                                      <a:avLst/>
                                    </a:prstGeom>
                                    <a:solidFill>
                                      <a:srgbClr val="FFFFFF"/>
                                    </a:solidFill>
                                    <a:ln w="12700" cap="flat" cmpd="sng">
                                      <a:solidFill>
                                        <a:srgbClr val="000000"/>
                                      </a:solidFill>
                                      <a:prstDash val="dash"/>
                                      <a:miter lim="800000"/>
                                      <a:headEnd type="none" w="med" len="med"/>
                                      <a:tailEnd type="none" w="med" len="med"/>
                                    </a:ln>
                                  </wps:spPr>
                                  <wps:txbx>
                                    <w:txbxContent>
                                      <w:p w14:paraId="5411C6AB">
                                        <w:pPr>
                                          <w:rPr>
                                            <w:sz w:val="20"/>
                                            <w:szCs w:val="20"/>
                                          </w:rPr>
                                        </w:pPr>
                                        <w:r>
                                          <w:rPr>
                                            <w:rFonts w:hint="eastAsia"/>
                                            <w:sz w:val="20"/>
                                            <w:szCs w:val="20"/>
                                          </w:rPr>
                                          <w:t>推荐律师复核</w:t>
                                        </w:r>
                                      </w:p>
                                      <w:p w14:paraId="4FB13462">
                                        <w:pPr>
                                          <w:rPr>
                                            <w:sz w:val="20"/>
                                            <w:szCs w:val="20"/>
                                          </w:rPr>
                                        </w:pPr>
                                        <w:r>
                                          <w:rPr>
                                            <w:rFonts w:hint="eastAsia"/>
                                            <w:sz w:val="20"/>
                                            <w:szCs w:val="20"/>
                                          </w:rPr>
                                          <w:t>核定</w:t>
                                        </w:r>
                                        <w:r>
                                          <w:rPr>
                                            <w:sz w:val="20"/>
                                            <w:szCs w:val="20"/>
                                          </w:rPr>
                                          <w:t>律师费</w:t>
                                        </w:r>
                                      </w:p>
                                      <w:p w14:paraId="691FDC81">
                                        <w:pPr>
                                          <w:rPr>
                                            <w:sz w:val="20"/>
                                            <w:szCs w:val="20"/>
                                          </w:rPr>
                                        </w:pPr>
                                        <w:r>
                                          <w:rPr>
                                            <w:rFonts w:hint="eastAsia"/>
                                            <w:sz w:val="20"/>
                                            <w:szCs w:val="20"/>
                                          </w:rPr>
                                          <w:t>三方</w:t>
                                        </w:r>
                                        <w:r>
                                          <w:rPr>
                                            <w:sz w:val="20"/>
                                            <w:szCs w:val="20"/>
                                          </w:rPr>
                                          <w:t>合同审核</w:t>
                                        </w:r>
                                      </w:p>
                                      <w:p w14:paraId="006D2533">
                                        <w:pPr>
                                          <w:rPr>
                                            <w:rFonts w:hint="eastAsia"/>
                                            <w:sz w:val="20"/>
                                            <w:szCs w:val="20"/>
                                          </w:rPr>
                                        </w:pPr>
                                        <w:r>
                                          <w:rPr>
                                            <w:rFonts w:hint="eastAsia"/>
                                            <w:sz w:val="20"/>
                                            <w:szCs w:val="20"/>
                                          </w:rPr>
                                          <w:t>签订</w:t>
                                        </w:r>
                                        <w:r>
                                          <w:rPr>
                                            <w:rFonts w:hint="eastAsia"/>
                                            <w:sz w:val="20"/>
                                            <w:szCs w:val="20"/>
                                            <w:lang w:eastAsia="zh-CN"/>
                                          </w:rPr>
                                          <w:t>三方委托代理合同</w:t>
                                        </w:r>
                                      </w:p>
                                    </w:txbxContent>
                                  </wps:txbx>
                                  <wps:bodyPr vert="horz" anchor="t" upright="1"/>
                                </wps:wsp>
                                <wps:wsp>
                                  <wps:cNvPr id="447" name="Rectangle 88"/>
                                  <wps:cNvSpPr/>
                                  <wps:spPr>
                                    <a:xfrm>
                                      <a:off x="6292" y="7102"/>
                                      <a:ext cx="1873" cy="488"/>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9A8330B">
                                        <w:pPr>
                                          <w:jc w:val="center"/>
                                          <w:rPr>
                                            <w:rFonts w:hint="eastAsia" w:eastAsia="宋体"/>
                                            <w:sz w:val="20"/>
                                            <w:szCs w:val="20"/>
                                            <w:lang w:eastAsia="zh-CN"/>
                                          </w:rPr>
                                        </w:pPr>
                                        <w:r>
                                          <w:rPr>
                                            <w:rFonts w:hint="eastAsia"/>
                                            <w:sz w:val="20"/>
                                            <w:szCs w:val="20"/>
                                            <w:lang w:eastAsia="zh-CN"/>
                                          </w:rPr>
                                          <w:t>案件评估</w:t>
                                        </w:r>
                                      </w:p>
                                    </w:txbxContent>
                                  </wps:txbx>
                                  <wps:bodyPr vert="horz" anchor="t" upright="1"/>
                                </wps:wsp>
                                <wps:wsp>
                                  <wps:cNvPr id="448" name="Rectangle 95"/>
                                  <wps:cNvSpPr/>
                                  <wps:spPr>
                                    <a:xfrm>
                                      <a:off x="3488" y="10630"/>
                                      <a:ext cx="1772" cy="589"/>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40D49D1">
                                        <w:pPr>
                                          <w:jc w:val="center"/>
                                          <w:rPr>
                                            <w:rFonts w:hint="eastAsia"/>
                                            <w:sz w:val="20"/>
                                            <w:szCs w:val="20"/>
                                          </w:rPr>
                                        </w:pPr>
                                        <w:r>
                                          <w:rPr>
                                            <w:sz w:val="20"/>
                                            <w:szCs w:val="20"/>
                                          </w:rPr>
                                          <w:t>调解</w:t>
                                        </w:r>
                                        <w:r>
                                          <w:rPr>
                                            <w:rFonts w:hint="eastAsia"/>
                                            <w:sz w:val="20"/>
                                            <w:szCs w:val="20"/>
                                          </w:rPr>
                                          <w:t>/和解</w:t>
                                        </w:r>
                                        <w:r>
                                          <w:rPr>
                                            <w:rFonts w:hint="eastAsia"/>
                                            <w:sz w:val="20"/>
                                            <w:szCs w:val="20"/>
                                            <w:lang w:eastAsia="zh-CN"/>
                                          </w:rPr>
                                          <w:t>意向</w:t>
                                        </w:r>
                                      </w:p>
                                    </w:txbxContent>
                                  </wps:txbx>
                                  <wps:bodyPr vert="horz" anchor="t" upright="1"/>
                                </wps:wsp>
                                <wps:wsp>
                                  <wps:cNvPr id="449" name="Rectangle 100"/>
                                  <wps:cNvSpPr/>
                                  <wps:spPr>
                                    <a:xfrm>
                                      <a:off x="5994" y="8226"/>
                                      <a:ext cx="2505" cy="1678"/>
                                    </a:xfrm>
                                    <a:prstGeom prst="rect">
                                      <a:avLst/>
                                    </a:prstGeom>
                                    <a:solidFill>
                                      <a:srgbClr val="FFFFFF"/>
                                    </a:solidFill>
                                    <a:ln w="12700" cap="flat" cmpd="sng">
                                      <a:solidFill>
                                        <a:srgbClr val="000000"/>
                                      </a:solidFill>
                                      <a:prstDash val="dash"/>
                                      <a:miter lim="800000"/>
                                      <a:headEnd type="none" w="med" len="med"/>
                                      <a:tailEnd type="none" w="med" len="med"/>
                                    </a:ln>
                                  </wps:spPr>
                                  <wps:txbx>
                                    <w:txbxContent>
                                      <w:p w14:paraId="24336B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20"/>
                                            <w:szCs w:val="20"/>
                                          </w:rPr>
                                        </w:pPr>
                                        <w:r>
                                          <w:rPr>
                                            <w:rFonts w:hint="eastAsia"/>
                                            <w:sz w:val="20"/>
                                            <w:szCs w:val="20"/>
                                          </w:rPr>
                                          <w:t>案件</w:t>
                                        </w:r>
                                        <w:r>
                                          <w:rPr>
                                            <w:sz w:val="20"/>
                                            <w:szCs w:val="20"/>
                                          </w:rPr>
                                          <w:t>评估：</w:t>
                                        </w:r>
                                        <w:r>
                                          <w:rPr>
                                            <w:rFonts w:hint="eastAsia"/>
                                            <w:sz w:val="20"/>
                                            <w:szCs w:val="20"/>
                                          </w:rPr>
                                          <w:t>（根据</w:t>
                                        </w:r>
                                        <w:r>
                                          <w:rPr>
                                            <w:sz w:val="20"/>
                                            <w:szCs w:val="20"/>
                                          </w:rPr>
                                          <w:t>案件</w:t>
                                        </w:r>
                                        <w:r>
                                          <w:rPr>
                                            <w:rFonts w:hint="eastAsia"/>
                                            <w:sz w:val="20"/>
                                            <w:szCs w:val="20"/>
                                          </w:rPr>
                                          <w:t>复杂</w:t>
                                        </w:r>
                                        <w:r>
                                          <w:rPr>
                                            <w:sz w:val="20"/>
                                            <w:szCs w:val="20"/>
                                          </w:rPr>
                                          <w:t>程度）</w:t>
                                        </w:r>
                                      </w:p>
                                      <w:p w14:paraId="4BBDCEF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sz w:val="20"/>
                                            <w:szCs w:val="20"/>
                                          </w:rPr>
                                        </w:pPr>
                                        <w:r>
                                          <w:rPr>
                                            <w:rFonts w:hint="eastAsia"/>
                                            <w:sz w:val="20"/>
                                            <w:szCs w:val="20"/>
                                          </w:rPr>
                                          <w:t>1、</w:t>
                                        </w:r>
                                        <w:r>
                                          <w:rPr>
                                            <w:sz w:val="20"/>
                                            <w:szCs w:val="20"/>
                                          </w:rPr>
                                          <w:t>医学专家</w:t>
                                        </w:r>
                                        <w:r>
                                          <w:rPr>
                                            <w:rFonts w:hint="eastAsia"/>
                                            <w:sz w:val="20"/>
                                            <w:szCs w:val="20"/>
                                          </w:rPr>
                                          <w:t>案件</w:t>
                                        </w:r>
                                        <w:r>
                                          <w:rPr>
                                            <w:sz w:val="20"/>
                                            <w:szCs w:val="20"/>
                                          </w:rPr>
                                          <w:t>分析</w:t>
                                        </w:r>
                                      </w:p>
                                      <w:p w14:paraId="3B9A47B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20"/>
                                            <w:szCs w:val="20"/>
                                          </w:rPr>
                                        </w:pPr>
                                        <w:r>
                                          <w:rPr>
                                            <w:rFonts w:hint="eastAsia"/>
                                            <w:sz w:val="20"/>
                                            <w:szCs w:val="20"/>
                                          </w:rPr>
                                          <w:t>2、诉讼</w:t>
                                        </w:r>
                                        <w:r>
                                          <w:rPr>
                                            <w:sz w:val="20"/>
                                            <w:szCs w:val="20"/>
                                          </w:rPr>
                                          <w:t>案件风险评估小组案件分析评估</w:t>
                                        </w:r>
                                      </w:p>
                                    </w:txbxContent>
                                  </wps:txbx>
                                  <wps:bodyPr vert="horz" anchor="t" upright="1"/>
                                </wps:wsp>
                                <wps:wsp>
                                  <wps:cNvPr id="450" name="Rectangle 104"/>
                                  <wps:cNvSpPr/>
                                  <wps:spPr>
                                    <a:xfrm>
                                      <a:off x="9698" y="13378"/>
                                      <a:ext cx="1595" cy="891"/>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4EE82C7">
                                        <w:pPr>
                                          <w:rPr>
                                            <w:rFonts w:hint="eastAsia"/>
                                            <w:sz w:val="20"/>
                                            <w:szCs w:val="20"/>
                                          </w:rPr>
                                        </w:pPr>
                                        <w:r>
                                          <w:rPr>
                                            <w:rFonts w:hint="eastAsia"/>
                                            <w:sz w:val="20"/>
                                            <w:szCs w:val="20"/>
                                          </w:rPr>
                                          <w:t>二审应诉（流程参考</w:t>
                                        </w:r>
                                        <w:r>
                                          <w:rPr>
                                            <w:sz w:val="20"/>
                                            <w:szCs w:val="20"/>
                                          </w:rPr>
                                          <w:t>一审）</w:t>
                                        </w:r>
                                      </w:p>
                                    </w:txbxContent>
                                  </wps:txbx>
                                  <wps:bodyPr vert="horz" anchor="t" upright="1"/>
                                </wps:wsp>
                                <wps:wsp>
                                  <wps:cNvPr id="451" name="Rectangle 105"/>
                                  <wps:cNvSpPr/>
                                  <wps:spPr>
                                    <a:xfrm>
                                      <a:off x="9740" y="14965"/>
                                      <a:ext cx="1595" cy="4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23FD24B">
                                        <w:pPr>
                                          <w:jc w:val="center"/>
                                          <w:rPr>
                                            <w:rFonts w:hint="eastAsia" w:eastAsia="宋体"/>
                                            <w:sz w:val="20"/>
                                            <w:szCs w:val="20"/>
                                            <w:lang w:eastAsia="zh-CN"/>
                                          </w:rPr>
                                        </w:pPr>
                                        <w:r>
                                          <w:rPr>
                                            <w:rFonts w:hint="eastAsia"/>
                                            <w:sz w:val="20"/>
                                            <w:szCs w:val="20"/>
                                          </w:rPr>
                                          <w:t>二审裁判</w:t>
                                        </w:r>
                                      </w:p>
                                    </w:txbxContent>
                                  </wps:txbx>
                                  <wps:bodyPr vert="horz" anchor="t" upright="1"/>
                                </wps:wsp>
                                <wps:wsp>
                                  <wps:cNvPr id="452" name="Rectangle 107"/>
                                  <wps:cNvSpPr/>
                                  <wps:spPr>
                                    <a:xfrm>
                                      <a:off x="6458" y="14946"/>
                                      <a:ext cx="2042" cy="57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209217D">
                                        <w:pPr>
                                          <w:jc w:val="center"/>
                                          <w:rPr>
                                            <w:rFonts w:hint="eastAsia" w:eastAsia="宋体"/>
                                            <w:sz w:val="20"/>
                                            <w:szCs w:val="20"/>
                                            <w:lang w:eastAsia="zh-CN"/>
                                          </w:rPr>
                                        </w:pPr>
                                        <w:r>
                                          <w:rPr>
                                            <w:rFonts w:hint="eastAsia"/>
                                            <w:sz w:val="20"/>
                                            <w:szCs w:val="20"/>
                                            <w:lang w:eastAsia="zh-CN"/>
                                          </w:rPr>
                                          <w:t>保险核定并赔付</w:t>
                                        </w:r>
                                      </w:p>
                                    </w:txbxContent>
                                  </wps:txbx>
                                  <wps:bodyPr vert="horz" anchor="t" upright="1"/>
                                </wps:wsp>
                                <wps:wsp>
                                  <wps:cNvPr id="453" name="Rectangle 85"/>
                                  <wps:cNvSpPr/>
                                  <wps:spPr>
                                    <a:xfrm>
                                      <a:off x="8044" y="4733"/>
                                      <a:ext cx="2731" cy="1953"/>
                                    </a:xfrm>
                                    <a:prstGeom prst="rect">
                                      <a:avLst/>
                                    </a:prstGeom>
                                    <a:solidFill>
                                      <a:srgbClr val="FFFFFF"/>
                                    </a:solidFill>
                                    <a:ln w="12700" cap="flat" cmpd="sng">
                                      <a:solidFill>
                                        <a:srgbClr val="000000"/>
                                      </a:solidFill>
                                      <a:prstDash val="dash"/>
                                      <a:miter lim="800000"/>
                                      <a:headEnd type="none" w="med" len="med"/>
                                      <a:tailEnd type="none" w="med" len="med"/>
                                    </a:ln>
                                  </wps:spPr>
                                  <wps:txbx>
                                    <w:txbxContent>
                                      <w:p w14:paraId="27494A81">
                                        <w:pPr>
                                          <w:rPr>
                                            <w:sz w:val="18"/>
                                            <w:szCs w:val="18"/>
                                          </w:rPr>
                                        </w:pPr>
                                        <w:r>
                                          <w:rPr>
                                            <w:rFonts w:hint="eastAsia"/>
                                            <w:sz w:val="18"/>
                                            <w:szCs w:val="18"/>
                                          </w:rPr>
                                          <w:t>联系</w:t>
                                        </w:r>
                                        <w:r>
                                          <w:rPr>
                                            <w:sz w:val="18"/>
                                            <w:szCs w:val="18"/>
                                          </w:rPr>
                                          <w:t>医疗机构：</w:t>
                                        </w:r>
                                      </w:p>
                                      <w:p w14:paraId="68541CAE">
                                        <w:pPr>
                                          <w:rPr>
                                            <w:sz w:val="18"/>
                                            <w:szCs w:val="18"/>
                                          </w:rPr>
                                        </w:pPr>
                                        <w:r>
                                          <w:rPr>
                                            <w:rFonts w:hint="eastAsia"/>
                                            <w:sz w:val="18"/>
                                            <w:szCs w:val="18"/>
                                          </w:rPr>
                                          <w:t>案件</w:t>
                                        </w:r>
                                        <w:r>
                                          <w:rPr>
                                            <w:sz w:val="18"/>
                                            <w:szCs w:val="18"/>
                                          </w:rPr>
                                          <w:t>是否曾调解</w:t>
                                        </w:r>
                                        <w:r>
                                          <w:rPr>
                                            <w:rFonts w:hint="eastAsia"/>
                                            <w:sz w:val="18"/>
                                            <w:szCs w:val="18"/>
                                          </w:rPr>
                                          <w:t>？</w:t>
                                        </w:r>
                                      </w:p>
                                      <w:p w14:paraId="45F0C219">
                                        <w:pPr>
                                          <w:rPr>
                                            <w:sz w:val="18"/>
                                            <w:szCs w:val="18"/>
                                          </w:rPr>
                                        </w:pPr>
                                        <w:r>
                                          <w:rPr>
                                            <w:rFonts w:hint="eastAsia"/>
                                            <w:sz w:val="18"/>
                                            <w:szCs w:val="18"/>
                                          </w:rPr>
                                          <w:t>案件是否曾</w:t>
                                        </w:r>
                                        <w:r>
                                          <w:rPr>
                                            <w:sz w:val="18"/>
                                            <w:szCs w:val="18"/>
                                          </w:rPr>
                                          <w:t>鉴定？</w:t>
                                        </w:r>
                                      </w:p>
                                      <w:p w14:paraId="551CBB42">
                                        <w:pPr>
                                          <w:rPr>
                                            <w:sz w:val="18"/>
                                            <w:szCs w:val="18"/>
                                          </w:rPr>
                                        </w:pPr>
                                        <w:r>
                                          <w:rPr>
                                            <w:rFonts w:hint="eastAsia"/>
                                            <w:sz w:val="18"/>
                                            <w:szCs w:val="18"/>
                                          </w:rPr>
                                          <w:t>医院</w:t>
                                        </w:r>
                                        <w:r>
                                          <w:rPr>
                                            <w:sz w:val="18"/>
                                            <w:szCs w:val="18"/>
                                          </w:rPr>
                                          <w:t>是否需要指派律师</w:t>
                                        </w:r>
                                        <w:r>
                                          <w:rPr>
                                            <w:rFonts w:hint="eastAsia"/>
                                            <w:sz w:val="18"/>
                                            <w:szCs w:val="18"/>
                                          </w:rPr>
                                          <w:t>？</w:t>
                                        </w:r>
                                      </w:p>
                                      <w:p w14:paraId="0558823B">
                                        <w:pPr>
                                          <w:rPr>
                                            <w:rFonts w:hint="eastAsia" w:eastAsia="宋体"/>
                                            <w:sz w:val="18"/>
                                            <w:szCs w:val="18"/>
                                            <w:lang w:eastAsia="zh-CN"/>
                                          </w:rPr>
                                        </w:pPr>
                                        <w:r>
                                          <w:rPr>
                                            <w:rFonts w:hint="eastAsia"/>
                                            <w:sz w:val="18"/>
                                            <w:szCs w:val="18"/>
                                          </w:rPr>
                                          <w:t>告知</w:t>
                                        </w:r>
                                        <w:r>
                                          <w:rPr>
                                            <w:sz w:val="18"/>
                                            <w:szCs w:val="18"/>
                                          </w:rPr>
                                          <w:t>及发送材料清单</w:t>
                                        </w:r>
                                        <w:r>
                                          <w:rPr>
                                            <w:rFonts w:hint="eastAsia"/>
                                            <w:sz w:val="18"/>
                                            <w:szCs w:val="18"/>
                                            <w:lang w:eastAsia="zh-CN"/>
                                          </w:rPr>
                                          <w:t>？</w:t>
                                        </w:r>
                                      </w:p>
                                    </w:txbxContent>
                                  </wps:txbx>
                                  <wps:bodyPr vert="horz" anchor="t" upright="1"/>
                                </wps:wsp>
                                <wps:wsp>
                                  <wps:cNvPr id="454" name="Rectangle 76"/>
                                  <wps:cNvSpPr/>
                                  <wps:spPr>
                                    <a:xfrm>
                                      <a:off x="9322" y="3230"/>
                                      <a:ext cx="1712" cy="462"/>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CA8E0A5">
                                        <w:pPr>
                                          <w:jc w:val="center"/>
                                          <w:rPr>
                                            <w:rFonts w:hint="eastAsia"/>
                                            <w:sz w:val="20"/>
                                            <w:szCs w:val="20"/>
                                          </w:rPr>
                                        </w:pPr>
                                        <w:r>
                                          <w:rPr>
                                            <w:sz w:val="20"/>
                                            <w:szCs w:val="20"/>
                                          </w:rPr>
                                          <w:t>医疗机构</w:t>
                                        </w:r>
                                      </w:p>
                                    </w:txbxContent>
                                  </wps:txbx>
                                  <wps:bodyPr vert="horz" anchor="t" upright="1"/>
                                </wps:wsp>
                                <wps:wsp>
                                  <wps:cNvPr id="455" name="Rectangle 95"/>
                                  <wps:cNvSpPr/>
                                  <wps:spPr>
                                    <a:xfrm>
                                      <a:off x="8351" y="10563"/>
                                      <a:ext cx="2217" cy="794"/>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F3B46BB">
                                        <w:pPr>
                                          <w:jc w:val="center"/>
                                          <w:rPr>
                                            <w:rFonts w:hint="eastAsia"/>
                                            <w:sz w:val="20"/>
                                            <w:szCs w:val="20"/>
                                          </w:rPr>
                                        </w:pPr>
                                        <w:r>
                                          <w:rPr>
                                            <w:rFonts w:hint="eastAsia"/>
                                            <w:sz w:val="20"/>
                                            <w:szCs w:val="20"/>
                                            <w:lang w:eastAsia="zh-CN"/>
                                          </w:rPr>
                                          <w:t>选定</w:t>
                                        </w:r>
                                        <w:r>
                                          <w:rPr>
                                            <w:rFonts w:hint="eastAsia"/>
                                            <w:sz w:val="20"/>
                                            <w:szCs w:val="20"/>
                                          </w:rPr>
                                          <w:t>鉴定</w:t>
                                        </w:r>
                                        <w:r>
                                          <w:rPr>
                                            <w:sz w:val="20"/>
                                            <w:szCs w:val="20"/>
                                          </w:rPr>
                                          <w:t>机构，进入鉴定</w:t>
                                        </w:r>
                                        <w:r>
                                          <w:rPr>
                                            <w:rFonts w:hint="eastAsia"/>
                                            <w:sz w:val="20"/>
                                            <w:szCs w:val="20"/>
                                            <w:lang w:eastAsia="zh-CN"/>
                                          </w:rPr>
                                          <w:t>程序</w:t>
                                        </w:r>
                                      </w:p>
                                    </w:txbxContent>
                                  </wps:txbx>
                                  <wps:bodyPr vert="horz" anchor="t" upright="1"/>
                                </wps:wsp>
                                <wps:wsp>
                                  <wps:cNvPr id="456" name="Rectangle 107"/>
                                  <wps:cNvSpPr/>
                                  <wps:spPr>
                                    <a:xfrm>
                                      <a:off x="8361" y="12007"/>
                                      <a:ext cx="2216" cy="51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005D8DA">
                                        <w:pPr>
                                          <w:jc w:val="center"/>
                                          <w:rPr>
                                            <w:rFonts w:hint="eastAsia"/>
                                            <w:sz w:val="20"/>
                                            <w:szCs w:val="20"/>
                                          </w:rPr>
                                        </w:pPr>
                                        <w:r>
                                          <w:rPr>
                                            <w:rFonts w:hint="eastAsia"/>
                                            <w:sz w:val="20"/>
                                            <w:szCs w:val="20"/>
                                          </w:rPr>
                                          <w:t>一审判决</w:t>
                                        </w:r>
                                      </w:p>
                                    </w:txbxContent>
                                  </wps:txbx>
                                  <wps:bodyPr vert="horz" anchor="t" upright="1"/>
                                </wps:wsp>
                                <wps:wsp>
                                  <wps:cNvPr id="457" name="AutoShape 87"/>
                                  <wps:cNvSpPr/>
                                  <wps:spPr>
                                    <a:xfrm>
                                      <a:off x="6338" y="13242"/>
                                      <a:ext cx="2289" cy="897"/>
                                    </a:xfrm>
                                    <a:prstGeom prst="flowChartDecision">
                                      <a:avLst/>
                                    </a:prstGeom>
                                    <a:solidFill>
                                      <a:srgbClr val="FFFFFF"/>
                                    </a:solidFill>
                                    <a:ln w="9525" cap="flat" cmpd="sng">
                                      <a:solidFill>
                                        <a:srgbClr val="000000"/>
                                      </a:solidFill>
                                      <a:prstDash val="solid"/>
                                      <a:miter lim="800000"/>
                                      <a:headEnd type="none" w="med" len="med"/>
                                      <a:tailEnd type="none" w="med" len="med"/>
                                    </a:ln>
                                  </wps:spPr>
                                  <wps:txbx>
                                    <w:txbxContent>
                                      <w:p w14:paraId="439F273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20"/>
                                            <w:szCs w:val="20"/>
                                            <w:lang w:val="en-US" w:eastAsia="zh-CN"/>
                                          </w:rPr>
                                        </w:pPr>
                                        <w:r>
                                          <w:rPr>
                                            <w:rFonts w:hint="eastAsia"/>
                                            <w:sz w:val="20"/>
                                            <w:szCs w:val="20"/>
                                            <w:lang w:val="en-US" w:eastAsia="zh-CN"/>
                                          </w:rPr>
                                          <w:t>是否上诉</w:t>
                                        </w:r>
                                      </w:p>
                                    </w:txbxContent>
                                  </wps:txbx>
                                  <wps:bodyPr vert="horz" anchor="t" upright="1"/>
                                </wps:wsp>
                                <wps:wsp>
                                  <wps:cNvPr id="458" name="肘形连接符 9"/>
                                  <wps:cNvCnPr/>
                                  <wps:spPr>
                                    <a:xfrm rot="5400000" flipV="1">
                                      <a:off x="6830" y="4503"/>
                                      <a:ext cx="1911" cy="380"/>
                                    </a:xfrm>
                                    <a:prstGeom prst="bentConnector3">
                                      <a:avLst>
                                        <a:gd name="adj1" fmla="val 100759"/>
                                      </a:avLst>
                                    </a:prstGeom>
                                    <a:ln w="9525" cap="flat" cmpd="sng">
                                      <a:solidFill>
                                        <a:srgbClr val="000000"/>
                                      </a:solidFill>
                                      <a:prstDash val="solid"/>
                                      <a:round/>
                                      <a:headEnd type="none" w="med" len="med"/>
                                      <a:tailEnd type="triangle" w="med" len="med"/>
                                    </a:ln>
                                  </wps:spPr>
                                  <wps:bodyPr/>
                                </wps:wsp>
                                <wps:wsp>
                                  <wps:cNvPr id="459" name="肘形连接符 11"/>
                                  <wps:cNvCnPr>
                                    <a:endCxn id="43" idx="3"/>
                                  </wps:cNvCnPr>
                                  <wps:spPr>
                                    <a:xfrm rot="-5400000">
                                      <a:off x="9826" y="4442"/>
                                      <a:ext cx="2188" cy="227"/>
                                    </a:xfrm>
                                    <a:prstGeom prst="bentConnector4">
                                      <a:avLst>
                                        <a:gd name="adj1" fmla="val -847"/>
                                        <a:gd name="adj2" fmla="val 264977"/>
                                      </a:avLst>
                                    </a:prstGeom>
                                    <a:ln w="9525" cap="flat" cmpd="sng">
                                      <a:solidFill>
                                        <a:srgbClr val="000000"/>
                                      </a:solidFill>
                                      <a:prstDash val="solid"/>
                                      <a:round/>
                                      <a:headEnd type="none" w="med" len="med"/>
                                      <a:tailEnd type="triangle" w="med" len="med"/>
                                    </a:ln>
                                  </wps:spPr>
                                  <wps:bodyPr/>
                                </wps:wsp>
                                <wps:wsp>
                                  <wps:cNvPr id="460" name="直接箭头连接符 17"/>
                                  <wps:cNvCnPr/>
                                  <wps:spPr>
                                    <a:xfrm flipH="1">
                                      <a:off x="8347" y="3407"/>
                                      <a:ext cx="974" cy="0"/>
                                    </a:xfrm>
                                    <a:prstGeom prst="straightConnector1">
                                      <a:avLst/>
                                    </a:prstGeom>
                                    <a:ln w="9525" cap="flat" cmpd="sng">
                                      <a:solidFill>
                                        <a:srgbClr val="000000"/>
                                      </a:solidFill>
                                      <a:prstDash val="solid"/>
                                      <a:round/>
                                      <a:headEnd type="none" w="med" len="med"/>
                                      <a:tailEnd type="triangle" w="med" len="med"/>
                                    </a:ln>
                                  </wps:spPr>
                                  <wps:bodyPr/>
                                </wps:wsp>
                                <wps:wsp>
                                  <wps:cNvPr id="461" name="肘形连接符 20"/>
                                  <wps:cNvCnPr>
                                    <a:stCxn id="43" idx="1"/>
                                  </wps:cNvCnPr>
                                  <wps:spPr>
                                    <a:xfrm rot="10800000" flipH="1" flipV="1">
                                      <a:off x="3277" y="3438"/>
                                      <a:ext cx="1196" cy="2212"/>
                                    </a:xfrm>
                                    <a:prstGeom prst="bentConnector4">
                                      <a:avLst>
                                        <a:gd name="adj1" fmla="val -31356"/>
                                        <a:gd name="adj2" fmla="val 99954"/>
                                      </a:avLst>
                                    </a:prstGeom>
                                    <a:ln w="9525" cap="flat" cmpd="sng">
                                      <a:solidFill>
                                        <a:srgbClr val="000000"/>
                                      </a:solidFill>
                                      <a:prstDash val="solid"/>
                                      <a:round/>
                                      <a:headEnd type="none" w="med" len="med"/>
                                      <a:tailEnd type="triangle" w="med" len="med"/>
                                    </a:ln>
                                  </wps:spPr>
                                  <wps:bodyPr/>
                                </wps:wsp>
                                <wps:wsp>
                                  <wps:cNvPr id="462" name="肘形连接符 22"/>
                                  <wps:cNvCnPr/>
                                  <wps:spPr>
                                    <a:xfrm flipV="1">
                                      <a:off x="6468" y="3720"/>
                                      <a:ext cx="312" cy="1929"/>
                                    </a:xfrm>
                                    <a:prstGeom prst="bentConnector3">
                                      <a:avLst>
                                        <a:gd name="adj1" fmla="val 99250"/>
                                      </a:avLst>
                                    </a:prstGeom>
                                    <a:ln w="9525" cap="flat" cmpd="sng">
                                      <a:solidFill>
                                        <a:srgbClr val="000000"/>
                                      </a:solidFill>
                                      <a:prstDash val="solid"/>
                                      <a:round/>
                                      <a:headEnd type="none" w="med" len="med"/>
                                      <a:tailEnd type="triangle" w="med" len="med"/>
                                    </a:ln>
                                  </wps:spPr>
                                  <wps:bodyPr/>
                                </wps:wsp>
                                <wps:wsp>
                                  <wps:cNvPr id="463" name="直接箭头连接符 23"/>
                                  <wps:cNvCnPr/>
                                  <wps:spPr>
                                    <a:xfrm flipH="1">
                                      <a:off x="4938" y="3420"/>
                                      <a:ext cx="1230" cy="0"/>
                                    </a:xfrm>
                                    <a:prstGeom prst="straightConnector1">
                                      <a:avLst/>
                                    </a:prstGeom>
                                    <a:ln w="9525" cap="flat" cmpd="sng">
                                      <a:solidFill>
                                        <a:srgbClr val="000000"/>
                                      </a:solidFill>
                                      <a:prstDash val="solid"/>
                                      <a:round/>
                                      <a:headEnd type="none" w="med" len="med"/>
                                      <a:tailEnd type="triangle" w="med" len="med"/>
                                    </a:ln>
                                  </wps:spPr>
                                  <wps:bodyPr/>
                                </wps:wsp>
                                <wps:wsp>
                                  <wps:cNvPr id="464" name="直接箭头连接符 25"/>
                                  <wps:cNvCnPr>
                                    <a:stCxn id="45" idx="2"/>
                                  </wps:cNvCnPr>
                                  <wps:spPr>
                                    <a:xfrm flipH="1">
                                      <a:off x="7223" y="7590"/>
                                      <a:ext cx="5" cy="622"/>
                                    </a:xfrm>
                                    <a:prstGeom prst="straightConnector1">
                                      <a:avLst/>
                                    </a:prstGeom>
                                    <a:ln w="9525" cap="flat" cmpd="sng">
                                      <a:solidFill>
                                        <a:srgbClr val="000000"/>
                                      </a:solidFill>
                                      <a:prstDash val="solid"/>
                                      <a:round/>
                                      <a:headEnd type="none" w="med" len="med"/>
                                      <a:tailEnd type="triangle" w="med" len="med"/>
                                    </a:ln>
                                  </wps:spPr>
                                  <wps:bodyPr/>
                                </wps:wsp>
                                <wps:wsp>
                                  <wps:cNvPr id="465" name="肘形连接符 36"/>
                                  <wps:cNvCnPr/>
                                  <wps:spPr>
                                    <a:xfrm rot="-10800000" flipV="1">
                                      <a:off x="7503" y="12277"/>
                                      <a:ext cx="858" cy="991"/>
                                    </a:xfrm>
                                    <a:prstGeom prst="bentConnector2">
                                      <a:avLst/>
                                    </a:prstGeom>
                                    <a:ln w="9525" cap="flat" cmpd="sng">
                                      <a:solidFill>
                                        <a:srgbClr val="000000"/>
                                      </a:solidFill>
                                      <a:prstDash val="solid"/>
                                      <a:round/>
                                      <a:headEnd type="none" w="med" len="med"/>
                                      <a:tailEnd type="triangle" w="med" len="med"/>
                                    </a:ln>
                                  </wps:spPr>
                                  <wps:bodyPr/>
                                </wps:wsp>
                                <wps:wsp>
                                  <wps:cNvPr id="466" name="直接箭头连接符 51"/>
                                  <wps:cNvCnPr/>
                                  <wps:spPr>
                                    <a:xfrm flipH="1">
                                      <a:off x="8508" y="15184"/>
                                      <a:ext cx="1242" cy="0"/>
                                    </a:xfrm>
                                    <a:prstGeom prst="straightConnector1">
                                      <a:avLst/>
                                    </a:prstGeom>
                                    <a:ln w="9525" cap="flat" cmpd="sng">
                                      <a:solidFill>
                                        <a:srgbClr val="000000"/>
                                      </a:solidFill>
                                      <a:prstDash val="solid"/>
                                      <a:round/>
                                      <a:headEnd type="none" w="med" len="med"/>
                                      <a:tailEnd type="triangle" w="med" len="med"/>
                                    </a:ln>
                                  </wps:spPr>
                                  <wps:bodyPr/>
                                </wps:wsp>
                                <wps:wsp>
                                  <wps:cNvPr id="467" name="文本框 1"/>
                                  <wps:cNvSpPr txBox="1"/>
                                  <wps:spPr>
                                    <a:xfrm>
                                      <a:off x="8816" y="13232"/>
                                      <a:ext cx="491" cy="439"/>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2324AE11">
                                        <w:pPr>
                                          <w:rPr>
                                            <w:rFonts w:hint="eastAsia" w:eastAsia="宋体"/>
                                            <w:sz w:val="20"/>
                                            <w:szCs w:val="20"/>
                                            <w:lang w:val="en-US" w:eastAsia="zh-CN"/>
                                          </w:rPr>
                                        </w:pPr>
                                        <w:r>
                                          <w:rPr>
                                            <w:rFonts w:hint="eastAsia"/>
                                            <w:sz w:val="20"/>
                                            <w:szCs w:val="20"/>
                                            <w:lang w:val="en-US" w:eastAsia="zh-CN"/>
                                          </w:rPr>
                                          <w:t>是</w:t>
                                        </w:r>
                                      </w:p>
                                    </w:txbxContent>
                                  </wps:txbx>
                                  <wps:bodyPr vert="horz" anchor="t" upright="1"/>
                                </wps:wsp>
                                <wps:wsp>
                                  <wps:cNvPr id="468" name="文本框 3"/>
                                  <wps:cNvSpPr txBox="1"/>
                                  <wps:spPr>
                                    <a:xfrm>
                                      <a:off x="7598" y="14153"/>
                                      <a:ext cx="545" cy="513"/>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5BF3474D">
                                        <w:pPr>
                                          <w:rPr>
                                            <w:rFonts w:hint="eastAsia" w:eastAsia="宋体"/>
                                            <w:lang w:eastAsia="zh-CN"/>
                                          </w:rPr>
                                        </w:pPr>
                                        <w:r>
                                          <w:rPr>
                                            <w:rFonts w:hint="eastAsia"/>
                                            <w:lang w:eastAsia="zh-CN"/>
                                          </w:rPr>
                                          <w:t>否</w:t>
                                        </w:r>
                                      </w:p>
                                    </w:txbxContent>
                                  </wps:txbx>
                                  <wps:bodyPr vert="horz" anchor="t" upright="1"/>
                                </wps:wsp>
                                <wps:wsp>
                                  <wps:cNvPr id="469" name="直接箭头连接符 10"/>
                                  <wps:cNvCnPr>
                                    <a:stCxn id="46" idx="2"/>
                                    <a:endCxn id="50" idx="0"/>
                                  </wps:cNvCnPr>
                                  <wps:spPr>
                                    <a:xfrm>
                                      <a:off x="9460" y="11357"/>
                                      <a:ext cx="9" cy="650"/>
                                    </a:xfrm>
                                    <a:prstGeom prst="straightConnector1">
                                      <a:avLst/>
                                    </a:prstGeom>
                                    <a:ln w="9525" cap="flat" cmpd="sng">
                                      <a:solidFill>
                                        <a:srgbClr val="000000"/>
                                      </a:solidFill>
                                      <a:prstDash val="solid"/>
                                      <a:round/>
                                      <a:headEnd type="none" w="med" len="med"/>
                                      <a:tailEnd type="triangle" w="med" len="med"/>
                                    </a:ln>
                                  </wps:spPr>
                                  <wps:bodyPr/>
                                </wps:wsp>
                                <wps:wsp>
                                  <wps:cNvPr id="470" name="肘形连接符 29"/>
                                  <wps:cNvCnPr>
                                    <a:stCxn id="59" idx="3"/>
                                    <a:endCxn id="46" idx="1"/>
                                  </wps:cNvCnPr>
                                  <wps:spPr>
                                    <a:xfrm flipV="1">
                                      <a:off x="5510" y="10960"/>
                                      <a:ext cx="2841" cy="2751"/>
                                    </a:xfrm>
                                    <a:prstGeom prst="bentConnector3">
                                      <a:avLst>
                                        <a:gd name="adj1" fmla="val 14046"/>
                                      </a:avLst>
                                    </a:prstGeom>
                                    <a:ln w="9525" cap="flat" cmpd="sng">
                                      <a:solidFill>
                                        <a:srgbClr val="000000"/>
                                      </a:solidFill>
                                      <a:prstDash val="solid"/>
                                      <a:round/>
                                      <a:headEnd type="none" w="med" len="med"/>
                                      <a:tailEnd type="triangle" w="med" len="med"/>
                                    </a:ln>
                                  </wps:spPr>
                                  <wps:bodyPr/>
                                </wps:wsp>
                                <wps:wsp>
                                  <wps:cNvPr id="471" name="直接箭头连接符 32"/>
                                  <wps:cNvCnPr/>
                                  <wps:spPr>
                                    <a:xfrm flipH="1" flipV="1">
                                      <a:off x="5318" y="10776"/>
                                      <a:ext cx="3020" cy="15"/>
                                    </a:xfrm>
                                    <a:prstGeom prst="straightConnector1">
                                      <a:avLst/>
                                    </a:prstGeom>
                                    <a:ln w="9525" cap="flat" cmpd="sng">
                                      <a:solidFill>
                                        <a:srgbClr val="000000"/>
                                      </a:solidFill>
                                      <a:prstDash val="solid"/>
                                      <a:round/>
                                      <a:headEnd type="none" w="med" len="med"/>
                                      <a:tailEnd type="triangle" w="med" len="med"/>
                                    </a:ln>
                                  </wps:spPr>
                                  <wps:bodyPr/>
                                </wps:wsp>
                                <wps:wsp>
                                  <wps:cNvPr id="472" name="文本框 33"/>
                                  <wps:cNvSpPr txBox="1"/>
                                  <wps:spPr>
                                    <a:xfrm>
                                      <a:off x="5972" y="11933"/>
                                      <a:ext cx="545" cy="580"/>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144ACBEE">
                                        <w:pPr>
                                          <w:rPr>
                                            <w:rFonts w:hint="eastAsia" w:eastAsia="宋体"/>
                                            <w:lang w:eastAsia="zh-CN"/>
                                          </w:rPr>
                                        </w:pPr>
                                        <w:r>
                                          <w:rPr>
                                            <w:rFonts w:hint="eastAsia"/>
                                            <w:lang w:eastAsia="zh-CN"/>
                                          </w:rPr>
                                          <w:t>否</w:t>
                                        </w:r>
                                      </w:p>
                                    </w:txbxContent>
                                  </wps:txbx>
                                  <wps:bodyPr vert="horz" anchor="t" upright="1"/>
                                </wps:wsp>
                                <wps:wsp>
                                  <wps:cNvPr id="473" name="文本框 37"/>
                                  <wps:cNvSpPr txBox="1"/>
                                  <wps:spPr>
                                    <a:xfrm>
                                      <a:off x="4383" y="14391"/>
                                      <a:ext cx="491" cy="506"/>
                                    </a:xfrm>
                                    <a:prstGeom prst="rect">
                                      <a:avLst/>
                                    </a:prstGeom>
                                    <a:solidFill>
                                      <a:srgbClr val="FFFFFF"/>
                                    </a:solidFill>
                                    <a:ln w="6350" cap="flat" cmpd="sng">
                                      <a:solidFill>
                                        <a:srgbClr val="FFFFFF"/>
                                      </a:solidFill>
                                      <a:prstDash val="solid"/>
                                      <a:round/>
                                      <a:headEnd type="none" w="med" len="med"/>
                                      <a:tailEnd type="none" w="med" len="med"/>
                                    </a:ln>
                                  </wps:spPr>
                                  <wps:txbx>
                                    <w:txbxContent>
                                      <w:p w14:paraId="4CD3B5E3">
                                        <w:pPr>
                                          <w:rPr>
                                            <w:rFonts w:hint="eastAsia" w:eastAsia="宋体"/>
                                            <w:sz w:val="20"/>
                                            <w:szCs w:val="20"/>
                                            <w:lang w:val="en-US" w:eastAsia="zh-CN"/>
                                          </w:rPr>
                                        </w:pPr>
                                        <w:r>
                                          <w:rPr>
                                            <w:rFonts w:hint="eastAsia"/>
                                            <w:sz w:val="20"/>
                                            <w:szCs w:val="20"/>
                                            <w:lang w:val="en-US" w:eastAsia="zh-CN"/>
                                          </w:rPr>
                                          <w:t>是</w:t>
                                        </w:r>
                                      </w:p>
                                    </w:txbxContent>
                                  </wps:txbx>
                                  <wps:bodyPr vert="horz" anchor="t" upright="1"/>
                                </wps:wsp>
                              </wpg:grpSp>
                            </wpg:grpSp>
                          </wpg:grpSp>
                          <wps:wsp>
                            <wps:cNvPr id="474" name="Rectangle 106"/>
                            <wps:cNvSpPr/>
                            <wps:spPr>
                              <a:xfrm>
                                <a:off x="3435" y="11865"/>
                                <a:ext cx="1915" cy="906"/>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B9C1C70">
                                  <w:pPr>
                                    <w:jc w:val="center"/>
                                    <w:rPr>
                                      <w:rFonts w:hint="eastAsia"/>
                                      <w:sz w:val="20"/>
                                      <w:szCs w:val="20"/>
                                    </w:rPr>
                                  </w:pPr>
                                  <w:r>
                                    <w:rPr>
                                      <w:rFonts w:hint="eastAsia"/>
                                      <w:sz w:val="20"/>
                                      <w:szCs w:val="20"/>
                                    </w:rPr>
                                    <w:t>保险公司</w:t>
                                  </w:r>
                                  <w:r>
                                    <w:rPr>
                                      <w:rFonts w:hint="eastAsia"/>
                                      <w:sz w:val="20"/>
                                      <w:szCs w:val="20"/>
                                      <w:lang w:eastAsia="zh-CN"/>
                                    </w:rPr>
                                    <w:t>确认</w:t>
                                  </w:r>
                                  <w:r>
                                    <w:rPr>
                                      <w:rFonts w:hint="eastAsia"/>
                                      <w:sz w:val="20"/>
                                      <w:szCs w:val="20"/>
                                    </w:rPr>
                                    <w:t>调解/和解</w:t>
                                  </w:r>
                                  <w:r>
                                    <w:rPr>
                                      <w:sz w:val="20"/>
                                      <w:szCs w:val="20"/>
                                    </w:rPr>
                                    <w:t>方案</w:t>
                                  </w:r>
                                </w:p>
                              </w:txbxContent>
                            </wps:txbx>
                            <wps:bodyPr vert="horz" anchor="t" upright="1"/>
                          </wps:wsp>
                          <wps:wsp>
                            <wps:cNvPr id="475" name="AutoShape 87"/>
                            <wps:cNvSpPr/>
                            <wps:spPr>
                              <a:xfrm>
                                <a:off x="3221" y="13262"/>
                                <a:ext cx="2289" cy="897"/>
                              </a:xfrm>
                              <a:prstGeom prst="flowChartDecision">
                                <a:avLst/>
                              </a:prstGeom>
                              <a:solidFill>
                                <a:srgbClr val="FFFFFF"/>
                              </a:solidFill>
                              <a:ln w="9525" cap="flat" cmpd="sng">
                                <a:solidFill>
                                  <a:srgbClr val="000000"/>
                                </a:solidFill>
                                <a:prstDash val="solid"/>
                                <a:miter lim="800000"/>
                                <a:headEnd type="none" w="med" len="med"/>
                                <a:tailEnd type="none" w="med" len="med"/>
                              </a:ln>
                            </wps:spPr>
                            <wps:txbx>
                              <w:txbxContent>
                                <w:p w14:paraId="3803A9EE">
                                  <w:pPr>
                                    <w:rPr>
                                      <w:sz w:val="18"/>
                                      <w:szCs w:val="18"/>
                                    </w:rPr>
                                  </w:pPr>
                                  <w:r>
                                    <w:rPr>
                                      <w:rFonts w:hint="eastAsia"/>
                                      <w:sz w:val="18"/>
                                      <w:szCs w:val="18"/>
                                      <w:lang w:eastAsia="zh-CN"/>
                                    </w:rPr>
                                    <w:t>是否成功</w:t>
                                  </w:r>
                                </w:p>
                              </w:txbxContent>
                            </wps:txbx>
                            <wps:bodyPr vert="horz" anchor="t" upright="1"/>
                          </wps:wsp>
                        </wpg:grpSp>
                        <wps:wsp>
                          <wps:cNvPr id="476" name="直接箭头连接符 52"/>
                          <wps:cNvCnPr/>
                          <wps:spPr>
                            <a:xfrm>
                              <a:off x="8179" y="14152"/>
                              <a:ext cx="0" cy="778"/>
                            </a:xfrm>
                            <a:prstGeom prst="straightConnector1">
                              <a:avLst/>
                            </a:prstGeom>
                            <a:ln w="9525" cap="flat" cmpd="sng">
                              <a:solidFill>
                                <a:srgbClr val="000000"/>
                              </a:solidFill>
                              <a:prstDash val="solid"/>
                              <a:round/>
                              <a:headEnd type="none" w="med" len="med"/>
                              <a:tailEnd type="triangle" w="med" len="med"/>
                            </a:ln>
                          </wps:spPr>
                          <wps:bodyPr/>
                        </wps:wsp>
                      </wpg:grpSp>
                      <wps:wsp>
                        <wps:cNvPr id="477" name="肘形连接符 54"/>
                        <wps:cNvCnPr>
                          <a:stCxn id="50" idx="2"/>
                          <a:endCxn id="81" idx="0"/>
                        </wps:cNvCnPr>
                        <wps:spPr>
                          <a:xfrm rot="5400000" flipV="1">
                            <a:off x="8422" y="13667"/>
                            <a:ext cx="830" cy="1934"/>
                          </a:xfrm>
                          <a:prstGeom prst="bentConnector3">
                            <a:avLst>
                              <a:gd name="adj1" fmla="val 50000"/>
                            </a:avLst>
                          </a:prstGeom>
                          <a:ln w="9525" cap="flat" cmpd="sng">
                            <a:solidFill>
                              <a:srgbClr val="000000"/>
                            </a:solidFill>
                            <a:prstDash val="solid"/>
                            <a:round/>
                            <a:headEnd type="none" w="med" len="med"/>
                            <a:tailEnd type="triangle" w="med" len="med"/>
                          </a:ln>
                        </wps:spPr>
                        <wps:bodyPr/>
                      </wps:wsp>
                      <wps:wsp>
                        <wps:cNvPr id="478" name="文本框 55"/>
                        <wps:cNvSpPr txBox="1"/>
                        <wps:spPr>
                          <a:xfrm>
                            <a:off x="8911" y="15049"/>
                            <a:ext cx="1785" cy="4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CB33E0D">
                              <w:pPr>
                                <w:jc w:val="center"/>
                                <w:rPr>
                                  <w:rFonts w:hint="eastAsia" w:eastAsia="宋体"/>
                                  <w:lang w:eastAsia="zh-CN"/>
                                </w:rPr>
                              </w:pPr>
                              <w:r>
                                <w:rPr>
                                  <w:rFonts w:hint="eastAsia"/>
                                  <w:lang w:eastAsia="zh-CN"/>
                                </w:rPr>
                                <w:t>或</w:t>
                              </w:r>
                              <w:r>
                                <w:rPr>
                                  <w:rFonts w:hint="eastAsia"/>
                                </w:rPr>
                                <w:t>支付给</w:t>
                              </w:r>
                              <w:r>
                                <w:rPr>
                                  <w:rFonts w:hint="eastAsia"/>
                                  <w:lang w:eastAsia="zh-CN"/>
                                </w:rPr>
                                <w:t>医院</w:t>
                              </w:r>
                            </w:p>
                          </w:txbxContent>
                        </wps:txbx>
                        <wps:bodyPr vert="horz" anchor="t" upright="1"/>
                      </wps:wsp>
                      <wps:wsp>
                        <wps:cNvPr id="479" name="文本框 56"/>
                        <wps:cNvSpPr txBox="1"/>
                        <wps:spPr>
                          <a:xfrm>
                            <a:off x="5595" y="15051"/>
                            <a:ext cx="1514" cy="4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95CD76A">
                              <w:pPr>
                                <w:jc w:val="center"/>
                                <w:rPr>
                                  <w:rFonts w:hint="eastAsia" w:eastAsia="宋体"/>
                                  <w:lang w:eastAsia="zh-CN"/>
                                </w:rPr>
                              </w:pPr>
                              <w:r>
                                <w:rPr>
                                  <w:rFonts w:hint="eastAsia"/>
                                </w:rPr>
                                <w:t>支付给</w:t>
                              </w:r>
                              <w:r>
                                <w:rPr>
                                  <w:rFonts w:hint="eastAsia"/>
                                  <w:lang w:eastAsia="zh-CN"/>
                                </w:rPr>
                                <w:t>患方</w:t>
                              </w:r>
                            </w:p>
                          </w:txbxContent>
                        </wps:txbx>
                        <wps:bodyPr vert="horz" anchor="t" upright="1"/>
                      </wps:wsp>
                      <wps:wsp>
                        <wps:cNvPr id="480" name="肘形连接符 57"/>
                        <wps:cNvCnPr>
                          <a:stCxn id="50" idx="2"/>
                          <a:endCxn id="82" idx="0"/>
                        </wps:cNvCnPr>
                        <wps:spPr>
                          <a:xfrm rot="5400000">
                            <a:off x="6695" y="13876"/>
                            <a:ext cx="832" cy="1518"/>
                          </a:xfrm>
                          <a:prstGeom prst="bentConnector3">
                            <a:avLst>
                              <a:gd name="adj1" fmla="val 50000"/>
                            </a:avLst>
                          </a:prstGeom>
                          <a:ln w="9525" cap="flat" cmpd="sng">
                            <a:solidFill>
                              <a:srgbClr val="000000"/>
                            </a:solidFill>
                            <a:prstDash val="solid"/>
                            <a:round/>
                            <a:headEnd type="none" w="med" len="med"/>
                            <a:tailEnd type="triangle" w="med" len="med"/>
                          </a:ln>
                        </wps:spPr>
                        <wps:bodyPr/>
                      </wps:wsp>
                    </wpg:wgp>
                  </a:graphicData>
                </a:graphic>
              </wp:anchor>
            </w:drawing>
          </mc:Choice>
          <mc:Fallback>
            <w:pict>
              <v:group id="组合 320" o:spid="_x0000_s1026" o:spt="203" style="position:absolute;left:0pt;margin-left:6.15pt;margin-top:8.55pt;height:658.55pt;width:400.5pt;z-index:251660288;mso-width-relative:page;mso-height-relative:page;" coordorigin="3628,1849" coordsize="8084,13696" o:gfxdata="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DQLHi11wAAAAoBAAAPAAAAAAAAAAEA&#10;IAAAACIAAABkcnMvZG93bnJldi54bWxQSwECFAAUAAAACACHTuJAngPv+BUMAABlcQAADgAAAAAA&#10;AAABACAAAAAmAQAAZHJzL2Uyb0RvYy54bWxQSwUGAAAAAAYABgBZAQAArQ8AAAAA&#10;">
                <o:lock v:ext="edit" aspectratio="f"/>
                <v:group id="组合 315" o:spid="_x0000_s1026" o:spt="203" style="position:absolute;left:3628;top:1849;height:12369;width:8084;" coordorigin="3913,1847" coordsize="8114,13658" o:gfxdata="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ap++AAAA3AAAAA8AAAAAAAAAAQAgAAAAIgAAAGRycy9kb3ducmV2Lnht&#10;bFBLAQIUABQAAAAIAIdO4kAzLwWeOwAAADkAAAAVAAAAAAAAAAEAIAAAAA0BAABkcnMvZ3JvdXBz&#10;aGFwZXhtbC54bWxQSwUGAAAAAAYABgBgAQAAygMAAAAA&#10;">
                  <o:lock v:ext="edit" aspectratio="f"/>
                  <v:group id="组合 313" o:spid="_x0000_s1026" o:spt="203" style="position:absolute;left:3913;top:1847;height:13659;width:8114;" coordorigin="3221,1847" coordsize="8114,13659" o:gfxdata="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j8uu+AAAA3AAAAA8AAAAAAAAAAQAgAAAAIgAAAGRycy9kb3ducmV2Lnht&#10;bFBLAQIUABQAAAAIAIdO4kAzLwWeOwAAADkAAAAVAAAAAAAAAAEAIAAAAA0BAABkcnMvZ3JvdXBz&#10;aGFwZXhtbC54bWxQSwUGAAAAAAYABgBgAQAAygMAAAAA&#10;">
                    <o:lock v:ext="edit" aspectratio="f"/>
                    <v:group id="组合 42" o:spid="_x0000_s1026" o:spt="203" style="position:absolute;left:3277;top:1847;height:13659;width:8058;" coordorigin="3277,1847" coordsize="8058,13659"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直接箭头连接符 8" o:spid="_x0000_s1026" o:spt="32" type="#_x0000_t32" style="position:absolute;left:7216;top:2715;height:4372;width:0;" filled="f" stroked="t" coordsize="21600,21600" o:gfxdata="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bnd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id="组合 40" o:spid="_x0000_s1026" o:spt="203" style="position:absolute;left:3277;top:1847;height:13659;width:8058;" coordorigin="3277,1847" coordsize="8058,13659" o:gfxdata="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XFsnMAAAADcAAAADwAAAAAAAAABACAAAAAiAAAAZHJzL2Rvd25yZXYu&#10;eG1sUEsBAhQAFAAAAAgAh07iQDMvBZ47AAAAOQAAABUAAAAAAAAAAQAgAAAADwEAAGRycy9ncm91&#10;cHNoYXBleG1sLnhtbFBLBQYAAAAABgAGAGABAADMAwAAAAA=&#10;">
                        <o:lock v:ext="edit" aspectratio="f"/>
                        <v:rect id="Rectangle 79" o:spid="_x0000_s1026" o:spt="1" style="position:absolute;left:6160;top:3215;height:518;width:2178;" fillcolor="#FFFFFF" filled="t" stroked="t" coordsize="21600,21600" o:gfxdata="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hR0g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11565496">
                                <w:pPr>
                                  <w:jc w:val="center"/>
                                  <w:rPr>
                                    <w:sz w:val="20"/>
                                    <w:szCs w:val="20"/>
                                  </w:rPr>
                                </w:pPr>
                                <w:r>
                                  <w:rPr>
                                    <w:rFonts w:hint="eastAsia"/>
                                    <w:sz w:val="20"/>
                                    <w:szCs w:val="20"/>
                                    <w:lang w:val="en-US" w:eastAsia="zh-CN"/>
                                  </w:rPr>
                                  <w:t>保险</w:t>
                                </w:r>
                                <w:r>
                                  <w:rPr>
                                    <w:rFonts w:hint="eastAsia"/>
                                    <w:sz w:val="20"/>
                                    <w:szCs w:val="20"/>
                                  </w:rPr>
                                  <w:t>经纪公司</w:t>
                                </w:r>
                              </w:p>
                            </w:txbxContent>
                          </v:textbox>
                        </v:rect>
                        <v:group id="组合 38" o:spid="_x0000_s1026" o:spt="203" style="position:absolute;left:3277;top:1847;height:13659;width:8058;" coordorigin="3277,1860" coordsize="8058,13659" o:gfxdata="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6JddcAAAADcAAAADwAAAAAAAAABACAAAAAiAAAAZHJzL2Rvd25yZXYu&#10;eG1sUEsBAhQAFAAAAAgAh07iQDMvBZ47AAAAOQAAABUAAAAAAAAAAQAgAAAADwEAAGRycy9ncm91&#10;cHNoYXBleG1sLnhtbFBLBQYAAAAABgAGAGABAADMAwAAAAA=&#10;">
                          <o:lock v:ext="edit" aspectratio="f"/>
                          <v:shape id="肘形连接符 7" o:spid="_x0000_s1026" o:spt="33" type="#_x0000_t33" style="position:absolute;left:3409;top:12184;flip:y;height:2085;width:4014;rotation:-5898240f;" filled="f" stroked="t" coordsize="21600,21600" o:gfxdata="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7pC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肘形连接符 49" o:spid="_x0000_s1026" o:spt="34" type="#_x0000_t34" style="position:absolute;left:8601;top:13704;height:1226;width:1971;" filled="f" stroked="t" coordsize="21600,21600" o:gfxdata="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FEWy8AAAA&#10;3AAAAA8AAAAAAAAAAQAgAAAAIgAAAGRycy9kb3ducmV2LnhtbFBLAQIUABQAAAAIAIdO4kAzLwWe&#10;OwAAADkAAAAQAAAAAAAAAAEAIAAAAAsBAABkcnMvc2hhcGV4bWwueG1sUEsFBgAAAAAGAAYAWwEA&#10;ALUDAAAAAA==&#10;" adj="21663">
                            <v:fill on="f" focussize="0,0"/>
                            <v:stroke color="#000000" joinstyle="round" endarrow="block"/>
                            <v:imagedata o:title=""/>
                            <o:lock v:ext="edit" aspectratio="f"/>
                          </v:shape>
                          <v:shape id="肘形连接符 30" o:spid="_x0000_s1026" o:spt="34" type="#_x0000_t34" style="position:absolute;left:8216;top:9319;flip:y;height:954;width:1534;rotation:-5898240f;" filled="f" stroked="t" coordsize="21600,21600" o:gfxdata="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1vGPvQAA&#10;ANwAAAAPAAAAAAAAAAEAIAAAACIAAABkcnMvZG93bnJldi54bWxQSwECFAAUAAAACACHTuJAMy8F&#10;njsAAAA5AAAAEAAAAAAAAAABACAAAAAMAQAAZHJzL3NoYXBleG1sLnhtbFBLBQYAAAAABgAGAFsB&#10;AAC2AwAAAAA=&#10;" adj="451">
                            <v:fill on="f" focussize="0,0"/>
                            <v:stroke color="#000000" joinstyle="round" endarrow="block"/>
                            <v:imagedata o:title=""/>
                            <o:lock v:ext="edit" aspectratio="f"/>
                          </v:shape>
                          <v:shape id="肘形连接符 35" o:spid="_x0000_s1026" o:spt="34" type="#_x0000_t34" style="position:absolute;left:4386;top:9065;flip:y;height:1551;width:1608;rotation:11796480f;" filled="f" stroked="t" coordsize="21600,21600" o:gfxdata="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VeEKvQAA&#10;ANwAAAAPAAAAAAAAAAEAIAAAACIAAABkcnMvZG93bnJldi54bWxQSwECFAAUAAAACACHTuJAMy8F&#10;njsAAAA5AAAAEAAAAAAAAAABACAAAAAMAQAAZHJzL3NoYXBleG1sLnhtbFBLBQYAAAAABgAGAFsB&#10;AAC2AwAAAAA=&#10;" adj="21600">
                            <v:fill on="f" focussize="0,0"/>
                            <v:stroke color="#000000" joinstyle="round" endarrow="block"/>
                            <v:imagedata o:title=""/>
                            <o:lock v:ext="edit" aspectratio="f"/>
                          </v:shape>
                          <v:rect id="Rectangle 75" o:spid="_x0000_s1026" o:spt="1" style="position:absolute;left:6160;top:1860;height:870;width:2072;" fillcolor="#FFFFFF" filled="t" stroked="t" coordsize="21600,21600" o:gfxdata="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5kW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377A95F1">
                                  <w:pPr>
                                    <w:jc w:val="center"/>
                                    <w:rPr>
                                      <w:sz w:val="20"/>
                                      <w:szCs w:val="20"/>
                                    </w:rPr>
                                  </w:pPr>
                                  <w:r>
                                    <w:rPr>
                                      <w:rFonts w:hint="eastAsia"/>
                                      <w:sz w:val="20"/>
                                      <w:szCs w:val="20"/>
                                    </w:rPr>
                                    <w:t>接到法院传票</w:t>
                                  </w:r>
                                </w:p>
                                <w:p w14:paraId="210B203B">
                                  <w:pPr>
                                    <w:jc w:val="center"/>
                                    <w:rPr>
                                      <w:sz w:val="20"/>
                                      <w:szCs w:val="20"/>
                                    </w:rPr>
                                  </w:pPr>
                                  <w:r>
                                    <w:rPr>
                                      <w:rFonts w:hint="eastAsia"/>
                                      <w:sz w:val="20"/>
                                      <w:szCs w:val="20"/>
                                    </w:rPr>
                                    <w:t>医院报案</w:t>
                                  </w:r>
                                </w:p>
                              </w:txbxContent>
                            </v:textbox>
                          </v:rect>
                          <v:rect id="Rectangle 76" o:spid="_x0000_s1026" o:spt="1" style="position:absolute;left:3277;top:3219;height:438;width:1657;" fillcolor="#FFFFFF" filled="t" stroked="t" coordsize="21600,21600" o:gfxdata="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Cwc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0758EAF">
                                  <w:pPr>
                                    <w:jc w:val="center"/>
                                    <w:rPr>
                                      <w:sz w:val="20"/>
                                      <w:szCs w:val="20"/>
                                    </w:rPr>
                                  </w:pPr>
                                  <w:r>
                                    <w:rPr>
                                      <w:rFonts w:hint="eastAsia"/>
                                      <w:sz w:val="20"/>
                                      <w:szCs w:val="20"/>
                                    </w:rPr>
                                    <w:t>保险公司</w:t>
                                  </w:r>
                                </w:p>
                              </w:txbxContent>
                            </v:textbox>
                          </v:rect>
                          <v:rect id="Rectangle 85" o:spid="_x0000_s1026" o:spt="1" style="position:absolute;left:4457;top:4677;height:2022;width:1985;" fillcolor="#FFFFFF" filled="t" stroked="t" coordsize="21600,21600" o:gfxdata="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eYtW8AAAA&#10;3AAAAA8AAAAAAAAAAQAgAAAAIgAAAGRycy9kb3ducmV2LnhtbFBLAQIUABQAAAAIAIdO4kAzLwWe&#10;OwAAADkAAAAQAAAAAAAAAAEAIAAAAAsBAABkcnMvc2hhcGV4bWwueG1sUEsFBgAAAAAGAAYAWwEA&#10;ALUDAAAAAA==&#10;">
                            <v:fill on="t" focussize="0,0"/>
                            <v:stroke weight="1pt" color="#000000" miterlimit="8" joinstyle="miter" dashstyle="dash"/>
                            <v:imagedata o:title=""/>
                            <o:lock v:ext="edit" aspectratio="f"/>
                            <v:textbox>
                              <w:txbxContent>
                                <w:p w14:paraId="5411C6AB">
                                  <w:pPr>
                                    <w:rPr>
                                      <w:sz w:val="20"/>
                                      <w:szCs w:val="20"/>
                                    </w:rPr>
                                  </w:pPr>
                                  <w:r>
                                    <w:rPr>
                                      <w:rFonts w:hint="eastAsia"/>
                                      <w:sz w:val="20"/>
                                      <w:szCs w:val="20"/>
                                    </w:rPr>
                                    <w:t>推荐律师复核</w:t>
                                  </w:r>
                                </w:p>
                                <w:p w14:paraId="4FB13462">
                                  <w:pPr>
                                    <w:rPr>
                                      <w:sz w:val="20"/>
                                      <w:szCs w:val="20"/>
                                    </w:rPr>
                                  </w:pPr>
                                  <w:r>
                                    <w:rPr>
                                      <w:rFonts w:hint="eastAsia"/>
                                      <w:sz w:val="20"/>
                                      <w:szCs w:val="20"/>
                                    </w:rPr>
                                    <w:t>核定</w:t>
                                  </w:r>
                                  <w:r>
                                    <w:rPr>
                                      <w:sz w:val="20"/>
                                      <w:szCs w:val="20"/>
                                    </w:rPr>
                                    <w:t>律师费</w:t>
                                  </w:r>
                                </w:p>
                                <w:p w14:paraId="691FDC81">
                                  <w:pPr>
                                    <w:rPr>
                                      <w:sz w:val="20"/>
                                      <w:szCs w:val="20"/>
                                    </w:rPr>
                                  </w:pPr>
                                  <w:r>
                                    <w:rPr>
                                      <w:rFonts w:hint="eastAsia"/>
                                      <w:sz w:val="20"/>
                                      <w:szCs w:val="20"/>
                                    </w:rPr>
                                    <w:t>三方</w:t>
                                  </w:r>
                                  <w:r>
                                    <w:rPr>
                                      <w:sz w:val="20"/>
                                      <w:szCs w:val="20"/>
                                    </w:rPr>
                                    <w:t>合同审核</w:t>
                                  </w:r>
                                </w:p>
                                <w:p w14:paraId="006D2533">
                                  <w:pPr>
                                    <w:rPr>
                                      <w:rFonts w:hint="eastAsia"/>
                                      <w:sz w:val="20"/>
                                      <w:szCs w:val="20"/>
                                    </w:rPr>
                                  </w:pPr>
                                  <w:r>
                                    <w:rPr>
                                      <w:rFonts w:hint="eastAsia"/>
                                      <w:sz w:val="20"/>
                                      <w:szCs w:val="20"/>
                                    </w:rPr>
                                    <w:t>签订</w:t>
                                  </w:r>
                                  <w:r>
                                    <w:rPr>
                                      <w:rFonts w:hint="eastAsia"/>
                                      <w:sz w:val="20"/>
                                      <w:szCs w:val="20"/>
                                      <w:lang w:eastAsia="zh-CN"/>
                                    </w:rPr>
                                    <w:t>三方委托代理合同</w:t>
                                  </w:r>
                                </w:p>
                              </w:txbxContent>
                            </v:textbox>
                          </v:rect>
                          <v:rect id="Rectangle 88" o:spid="_x0000_s1026" o:spt="1" style="position:absolute;left:6292;top:7102;height:488;width:1873;"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79A8330B">
                                  <w:pPr>
                                    <w:jc w:val="center"/>
                                    <w:rPr>
                                      <w:rFonts w:hint="eastAsia" w:eastAsia="宋体"/>
                                      <w:sz w:val="20"/>
                                      <w:szCs w:val="20"/>
                                      <w:lang w:eastAsia="zh-CN"/>
                                    </w:rPr>
                                  </w:pPr>
                                  <w:r>
                                    <w:rPr>
                                      <w:rFonts w:hint="eastAsia"/>
                                      <w:sz w:val="20"/>
                                      <w:szCs w:val="20"/>
                                      <w:lang w:eastAsia="zh-CN"/>
                                    </w:rPr>
                                    <w:t>案件评估</w:t>
                                  </w:r>
                                </w:p>
                              </w:txbxContent>
                            </v:textbox>
                          </v:rect>
                          <v:rect id="Rectangle 95" o:spid="_x0000_s1026" o:spt="1" style="position:absolute;left:3488;top:10630;height:589;width:1772;" fillcolor="#FFFFFF" filled="t" stroked="t" coordsize="21600,21600" o:gfxdata="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g25d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440D49D1">
                                  <w:pPr>
                                    <w:jc w:val="center"/>
                                    <w:rPr>
                                      <w:rFonts w:hint="eastAsia"/>
                                      <w:sz w:val="20"/>
                                      <w:szCs w:val="20"/>
                                    </w:rPr>
                                  </w:pPr>
                                  <w:r>
                                    <w:rPr>
                                      <w:sz w:val="20"/>
                                      <w:szCs w:val="20"/>
                                    </w:rPr>
                                    <w:t>调解</w:t>
                                  </w:r>
                                  <w:r>
                                    <w:rPr>
                                      <w:rFonts w:hint="eastAsia"/>
                                      <w:sz w:val="20"/>
                                      <w:szCs w:val="20"/>
                                    </w:rPr>
                                    <w:t>/和解</w:t>
                                  </w:r>
                                  <w:r>
                                    <w:rPr>
                                      <w:rFonts w:hint="eastAsia"/>
                                      <w:sz w:val="20"/>
                                      <w:szCs w:val="20"/>
                                      <w:lang w:eastAsia="zh-CN"/>
                                    </w:rPr>
                                    <w:t>意向</w:t>
                                  </w:r>
                                </w:p>
                              </w:txbxContent>
                            </v:textbox>
                          </v:rect>
                          <v:rect id="Rectangle 100" o:spid="_x0000_s1026" o:spt="1" style="position:absolute;left:5994;top:8226;height:1678;width:2505;" fillcolor="#FFFFFF" filled="t" stroked="t" coordsize="21600,21600" o:gfxdata="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B9qe8AAAA&#10;3AAAAA8AAAAAAAAAAQAgAAAAIgAAAGRycy9kb3ducmV2LnhtbFBLAQIUABQAAAAIAIdO4kAzLwWe&#10;OwAAADkAAAAQAAAAAAAAAAEAIAAAAAsBAABkcnMvc2hhcGV4bWwueG1sUEsFBgAAAAAGAAYAWwEA&#10;ALUDAAAAAA==&#10;">
                            <v:fill on="t" focussize="0,0"/>
                            <v:stroke weight="1pt" color="#000000" miterlimit="8" joinstyle="miter" dashstyle="dash"/>
                            <v:imagedata o:title=""/>
                            <o:lock v:ext="edit" aspectratio="f"/>
                            <v:textbox>
                              <w:txbxContent>
                                <w:p w14:paraId="24336B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20"/>
                                      <w:szCs w:val="20"/>
                                    </w:rPr>
                                  </w:pPr>
                                  <w:r>
                                    <w:rPr>
                                      <w:rFonts w:hint="eastAsia"/>
                                      <w:sz w:val="20"/>
                                      <w:szCs w:val="20"/>
                                    </w:rPr>
                                    <w:t>案件</w:t>
                                  </w:r>
                                  <w:r>
                                    <w:rPr>
                                      <w:sz w:val="20"/>
                                      <w:szCs w:val="20"/>
                                    </w:rPr>
                                    <w:t>评估：</w:t>
                                  </w:r>
                                  <w:r>
                                    <w:rPr>
                                      <w:rFonts w:hint="eastAsia"/>
                                      <w:sz w:val="20"/>
                                      <w:szCs w:val="20"/>
                                    </w:rPr>
                                    <w:t>（根据</w:t>
                                  </w:r>
                                  <w:r>
                                    <w:rPr>
                                      <w:sz w:val="20"/>
                                      <w:szCs w:val="20"/>
                                    </w:rPr>
                                    <w:t>案件</w:t>
                                  </w:r>
                                  <w:r>
                                    <w:rPr>
                                      <w:rFonts w:hint="eastAsia"/>
                                      <w:sz w:val="20"/>
                                      <w:szCs w:val="20"/>
                                    </w:rPr>
                                    <w:t>复杂</w:t>
                                  </w:r>
                                  <w:r>
                                    <w:rPr>
                                      <w:sz w:val="20"/>
                                      <w:szCs w:val="20"/>
                                    </w:rPr>
                                    <w:t>程度）</w:t>
                                  </w:r>
                                </w:p>
                                <w:p w14:paraId="4BBDCEF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sz w:val="20"/>
                                      <w:szCs w:val="20"/>
                                    </w:rPr>
                                  </w:pPr>
                                  <w:r>
                                    <w:rPr>
                                      <w:rFonts w:hint="eastAsia"/>
                                      <w:sz w:val="20"/>
                                      <w:szCs w:val="20"/>
                                    </w:rPr>
                                    <w:t>1、</w:t>
                                  </w:r>
                                  <w:r>
                                    <w:rPr>
                                      <w:sz w:val="20"/>
                                      <w:szCs w:val="20"/>
                                    </w:rPr>
                                    <w:t>医学专家</w:t>
                                  </w:r>
                                  <w:r>
                                    <w:rPr>
                                      <w:rFonts w:hint="eastAsia"/>
                                      <w:sz w:val="20"/>
                                      <w:szCs w:val="20"/>
                                    </w:rPr>
                                    <w:t>案件</w:t>
                                  </w:r>
                                  <w:r>
                                    <w:rPr>
                                      <w:sz w:val="20"/>
                                      <w:szCs w:val="20"/>
                                    </w:rPr>
                                    <w:t>分析</w:t>
                                  </w:r>
                                </w:p>
                                <w:p w14:paraId="3B9A47B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20"/>
                                      <w:szCs w:val="20"/>
                                    </w:rPr>
                                  </w:pPr>
                                  <w:r>
                                    <w:rPr>
                                      <w:rFonts w:hint="eastAsia"/>
                                      <w:sz w:val="20"/>
                                      <w:szCs w:val="20"/>
                                    </w:rPr>
                                    <w:t>2、诉讼</w:t>
                                  </w:r>
                                  <w:r>
                                    <w:rPr>
                                      <w:sz w:val="20"/>
                                      <w:szCs w:val="20"/>
                                    </w:rPr>
                                    <w:t>案件风险评估小组案件分析评估</w:t>
                                  </w:r>
                                </w:p>
                              </w:txbxContent>
                            </v:textbox>
                          </v:rect>
                          <v:rect id="Rectangle 104" o:spid="_x0000_s1026" o:spt="1" style="position:absolute;left:9698;top:13378;height:891;width:159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54EE82C7">
                                  <w:pPr>
                                    <w:rPr>
                                      <w:rFonts w:hint="eastAsia"/>
                                      <w:sz w:val="20"/>
                                      <w:szCs w:val="20"/>
                                    </w:rPr>
                                  </w:pPr>
                                  <w:r>
                                    <w:rPr>
                                      <w:rFonts w:hint="eastAsia"/>
                                      <w:sz w:val="20"/>
                                      <w:szCs w:val="20"/>
                                    </w:rPr>
                                    <w:t>二审应诉（流程参考</w:t>
                                  </w:r>
                                  <w:r>
                                    <w:rPr>
                                      <w:sz w:val="20"/>
                                      <w:szCs w:val="20"/>
                                    </w:rPr>
                                    <w:t>一审）</w:t>
                                  </w:r>
                                </w:p>
                              </w:txbxContent>
                            </v:textbox>
                          </v:rect>
                          <v:rect id="Rectangle 105" o:spid="_x0000_s1026" o:spt="1" style="position:absolute;left:9740;top:14965;height:475;width:1595;" fillcolor="#FFFFFF" filled="t" stroked="t" coordsize="21600,21600" o:gfxdata="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BRH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323FD24B">
                                  <w:pPr>
                                    <w:jc w:val="center"/>
                                    <w:rPr>
                                      <w:rFonts w:hint="eastAsia" w:eastAsia="宋体"/>
                                      <w:sz w:val="20"/>
                                      <w:szCs w:val="20"/>
                                      <w:lang w:eastAsia="zh-CN"/>
                                    </w:rPr>
                                  </w:pPr>
                                  <w:r>
                                    <w:rPr>
                                      <w:rFonts w:hint="eastAsia"/>
                                      <w:sz w:val="20"/>
                                      <w:szCs w:val="20"/>
                                    </w:rPr>
                                    <w:t>二审裁判</w:t>
                                  </w:r>
                                </w:p>
                              </w:txbxContent>
                            </v:textbox>
                          </v:rect>
                          <v:rect id="Rectangle 107" o:spid="_x0000_s1026" o:spt="1" style="position:absolute;left:6458;top:14946;height:573;width:2042;"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7209217D">
                                  <w:pPr>
                                    <w:jc w:val="center"/>
                                    <w:rPr>
                                      <w:rFonts w:hint="eastAsia" w:eastAsia="宋体"/>
                                      <w:sz w:val="20"/>
                                      <w:szCs w:val="20"/>
                                      <w:lang w:eastAsia="zh-CN"/>
                                    </w:rPr>
                                  </w:pPr>
                                  <w:r>
                                    <w:rPr>
                                      <w:rFonts w:hint="eastAsia"/>
                                      <w:sz w:val="20"/>
                                      <w:szCs w:val="20"/>
                                      <w:lang w:eastAsia="zh-CN"/>
                                    </w:rPr>
                                    <w:t>保险核定并赔付</w:t>
                                  </w:r>
                                </w:p>
                              </w:txbxContent>
                            </v:textbox>
                          </v:rect>
                          <v:rect id="Rectangle 85" o:spid="_x0000_s1026" o:spt="1" style="position:absolute;left:8044;top:4733;height:1953;width:2731;" fillcolor="#FFFFFF" filled="t" stroked="t" coordsize="21600,21600" o:gfxdata="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wV5C8AAAA&#10;3AAAAA8AAAAAAAAAAQAgAAAAIgAAAGRycy9kb3ducmV2LnhtbFBLAQIUABQAAAAIAIdO4kAzLwWe&#10;OwAAADkAAAAQAAAAAAAAAAEAIAAAAAsBAABkcnMvc2hhcGV4bWwueG1sUEsFBgAAAAAGAAYAWwEA&#10;ALUDAAAAAA==&#10;">
                            <v:fill on="t" focussize="0,0"/>
                            <v:stroke weight="1pt" color="#000000" miterlimit="8" joinstyle="miter" dashstyle="dash"/>
                            <v:imagedata o:title=""/>
                            <o:lock v:ext="edit" aspectratio="f"/>
                            <v:textbox>
                              <w:txbxContent>
                                <w:p w14:paraId="27494A81">
                                  <w:pPr>
                                    <w:rPr>
                                      <w:sz w:val="18"/>
                                      <w:szCs w:val="18"/>
                                    </w:rPr>
                                  </w:pPr>
                                  <w:r>
                                    <w:rPr>
                                      <w:rFonts w:hint="eastAsia"/>
                                      <w:sz w:val="18"/>
                                      <w:szCs w:val="18"/>
                                    </w:rPr>
                                    <w:t>联系</w:t>
                                  </w:r>
                                  <w:r>
                                    <w:rPr>
                                      <w:sz w:val="18"/>
                                      <w:szCs w:val="18"/>
                                    </w:rPr>
                                    <w:t>医疗机构：</w:t>
                                  </w:r>
                                </w:p>
                                <w:p w14:paraId="68541CAE">
                                  <w:pPr>
                                    <w:rPr>
                                      <w:sz w:val="18"/>
                                      <w:szCs w:val="18"/>
                                    </w:rPr>
                                  </w:pPr>
                                  <w:r>
                                    <w:rPr>
                                      <w:rFonts w:hint="eastAsia"/>
                                      <w:sz w:val="18"/>
                                      <w:szCs w:val="18"/>
                                    </w:rPr>
                                    <w:t>案件</w:t>
                                  </w:r>
                                  <w:r>
                                    <w:rPr>
                                      <w:sz w:val="18"/>
                                      <w:szCs w:val="18"/>
                                    </w:rPr>
                                    <w:t>是否曾调解</w:t>
                                  </w:r>
                                  <w:r>
                                    <w:rPr>
                                      <w:rFonts w:hint="eastAsia"/>
                                      <w:sz w:val="18"/>
                                      <w:szCs w:val="18"/>
                                    </w:rPr>
                                    <w:t>？</w:t>
                                  </w:r>
                                </w:p>
                                <w:p w14:paraId="45F0C219">
                                  <w:pPr>
                                    <w:rPr>
                                      <w:sz w:val="18"/>
                                      <w:szCs w:val="18"/>
                                    </w:rPr>
                                  </w:pPr>
                                  <w:r>
                                    <w:rPr>
                                      <w:rFonts w:hint="eastAsia"/>
                                      <w:sz w:val="18"/>
                                      <w:szCs w:val="18"/>
                                    </w:rPr>
                                    <w:t>案件是否曾</w:t>
                                  </w:r>
                                  <w:r>
                                    <w:rPr>
                                      <w:sz w:val="18"/>
                                      <w:szCs w:val="18"/>
                                    </w:rPr>
                                    <w:t>鉴定？</w:t>
                                  </w:r>
                                </w:p>
                                <w:p w14:paraId="551CBB42">
                                  <w:pPr>
                                    <w:rPr>
                                      <w:sz w:val="18"/>
                                      <w:szCs w:val="18"/>
                                    </w:rPr>
                                  </w:pPr>
                                  <w:r>
                                    <w:rPr>
                                      <w:rFonts w:hint="eastAsia"/>
                                      <w:sz w:val="18"/>
                                      <w:szCs w:val="18"/>
                                    </w:rPr>
                                    <w:t>医院</w:t>
                                  </w:r>
                                  <w:r>
                                    <w:rPr>
                                      <w:sz w:val="18"/>
                                      <w:szCs w:val="18"/>
                                    </w:rPr>
                                    <w:t>是否需要指派律师</w:t>
                                  </w:r>
                                  <w:r>
                                    <w:rPr>
                                      <w:rFonts w:hint="eastAsia"/>
                                      <w:sz w:val="18"/>
                                      <w:szCs w:val="18"/>
                                    </w:rPr>
                                    <w:t>？</w:t>
                                  </w:r>
                                </w:p>
                                <w:p w14:paraId="0558823B">
                                  <w:pPr>
                                    <w:rPr>
                                      <w:rFonts w:hint="eastAsia" w:eastAsia="宋体"/>
                                      <w:sz w:val="18"/>
                                      <w:szCs w:val="18"/>
                                      <w:lang w:eastAsia="zh-CN"/>
                                    </w:rPr>
                                  </w:pPr>
                                  <w:r>
                                    <w:rPr>
                                      <w:rFonts w:hint="eastAsia"/>
                                      <w:sz w:val="18"/>
                                      <w:szCs w:val="18"/>
                                    </w:rPr>
                                    <w:t>告知</w:t>
                                  </w:r>
                                  <w:r>
                                    <w:rPr>
                                      <w:sz w:val="18"/>
                                      <w:szCs w:val="18"/>
                                    </w:rPr>
                                    <w:t>及发送材料清单</w:t>
                                  </w:r>
                                  <w:r>
                                    <w:rPr>
                                      <w:rFonts w:hint="eastAsia"/>
                                      <w:sz w:val="18"/>
                                      <w:szCs w:val="18"/>
                                      <w:lang w:eastAsia="zh-CN"/>
                                    </w:rPr>
                                    <w:t>？</w:t>
                                  </w:r>
                                </w:p>
                              </w:txbxContent>
                            </v:textbox>
                          </v:rect>
                          <v:rect id="Rectangle 76" o:spid="_x0000_s1026" o:spt="1" style="position:absolute;left:9322;top:3230;height:462;width:1712;"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5CA8E0A5">
                                  <w:pPr>
                                    <w:jc w:val="center"/>
                                    <w:rPr>
                                      <w:rFonts w:hint="eastAsia"/>
                                      <w:sz w:val="20"/>
                                      <w:szCs w:val="20"/>
                                    </w:rPr>
                                  </w:pPr>
                                  <w:r>
                                    <w:rPr>
                                      <w:sz w:val="20"/>
                                      <w:szCs w:val="20"/>
                                    </w:rPr>
                                    <w:t>医疗机构</w:t>
                                  </w:r>
                                </w:p>
                              </w:txbxContent>
                            </v:textbox>
                          </v:rect>
                          <v:rect id="Rectangle 95" o:spid="_x0000_s1026" o:spt="1" style="position:absolute;left:8351;top:10563;height:794;width:2217;" fillcolor="#FFFFFF" filled="t" stroked="t" coordsize="21600,21600" o:gfxdata="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tXH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F3B46BB">
                                  <w:pPr>
                                    <w:jc w:val="center"/>
                                    <w:rPr>
                                      <w:rFonts w:hint="eastAsia"/>
                                      <w:sz w:val="20"/>
                                      <w:szCs w:val="20"/>
                                    </w:rPr>
                                  </w:pPr>
                                  <w:r>
                                    <w:rPr>
                                      <w:rFonts w:hint="eastAsia"/>
                                      <w:sz w:val="20"/>
                                      <w:szCs w:val="20"/>
                                      <w:lang w:eastAsia="zh-CN"/>
                                    </w:rPr>
                                    <w:t>选定</w:t>
                                  </w:r>
                                  <w:r>
                                    <w:rPr>
                                      <w:rFonts w:hint="eastAsia"/>
                                      <w:sz w:val="20"/>
                                      <w:szCs w:val="20"/>
                                    </w:rPr>
                                    <w:t>鉴定</w:t>
                                  </w:r>
                                  <w:r>
                                    <w:rPr>
                                      <w:sz w:val="20"/>
                                      <w:szCs w:val="20"/>
                                    </w:rPr>
                                    <w:t>机构，进入鉴定</w:t>
                                  </w:r>
                                  <w:r>
                                    <w:rPr>
                                      <w:rFonts w:hint="eastAsia"/>
                                      <w:sz w:val="20"/>
                                      <w:szCs w:val="20"/>
                                      <w:lang w:eastAsia="zh-CN"/>
                                    </w:rPr>
                                    <w:t>程序</w:t>
                                  </w:r>
                                </w:p>
                              </w:txbxContent>
                            </v:textbox>
                          </v:rect>
                          <v:rect id="Rectangle 107" o:spid="_x0000_s1026" o:spt="1" style="position:absolute;left:8361;top:12007;height:515;width:2216;"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005D8DA">
                                  <w:pPr>
                                    <w:jc w:val="center"/>
                                    <w:rPr>
                                      <w:rFonts w:hint="eastAsia"/>
                                      <w:sz w:val="20"/>
                                      <w:szCs w:val="20"/>
                                    </w:rPr>
                                  </w:pPr>
                                  <w:r>
                                    <w:rPr>
                                      <w:rFonts w:hint="eastAsia"/>
                                      <w:sz w:val="20"/>
                                      <w:szCs w:val="20"/>
                                    </w:rPr>
                                    <w:t>一审判决</w:t>
                                  </w:r>
                                </w:p>
                              </w:txbxContent>
                            </v:textbox>
                          </v:rect>
                          <v:shape id="AutoShape 87" o:spid="_x0000_s1026" o:spt="110" type="#_x0000_t110" style="position:absolute;left:6338;top:13242;height:897;width:2289;" fillcolor="#FFFFFF" filled="t" stroked="t" coordsize="21600,21600" o:gfxdata="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9l72/&#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439F273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宋体"/>
                                      <w:sz w:val="20"/>
                                      <w:szCs w:val="20"/>
                                      <w:lang w:val="en-US" w:eastAsia="zh-CN"/>
                                    </w:rPr>
                                  </w:pPr>
                                  <w:r>
                                    <w:rPr>
                                      <w:rFonts w:hint="eastAsia"/>
                                      <w:sz w:val="20"/>
                                      <w:szCs w:val="20"/>
                                      <w:lang w:val="en-US" w:eastAsia="zh-CN"/>
                                    </w:rPr>
                                    <w:t>是否上诉</w:t>
                                  </w:r>
                                </w:p>
                              </w:txbxContent>
                            </v:textbox>
                          </v:shape>
                          <v:shape id="肘形连接符 9" o:spid="_x0000_s1026" o:spt="34" type="#_x0000_t34" style="position:absolute;left:6830;top:4503;flip:y;height:380;width:1911;rotation:-5898240f;" filled="f" stroked="t" coordsize="21600,21600" o:gfxdata="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AXxm/&#10;AAAA3AAAAA8AAAAAAAAAAQAgAAAAIgAAAGRycy9kb3ducmV2LnhtbFBLAQIUABQAAAAIAIdO4kAz&#10;LwWeOwAAADkAAAAQAAAAAAAAAAEAIAAAAA4BAABkcnMvc2hhcGV4bWwueG1sUEsFBgAAAAAGAAYA&#10;WwEAALgDAAAAAA==&#10;" adj="21764">
                            <v:fill on="f" focussize="0,0"/>
                            <v:stroke color="#000000" joinstyle="round" endarrow="block"/>
                            <v:imagedata o:title=""/>
                            <o:lock v:ext="edit" aspectratio="f"/>
                          </v:shape>
                          <v:shape id="肘形连接符 11" o:spid="_x0000_s1026" o:spt="35" type="#_x0000_t35" style="position:absolute;left:9826;top:4442;height:227;width:2188;rotation:-5898240f;" filled="f" stroked="t" coordsize="21600,21600" o:gfxdata="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9GbUvQAA&#10;ANwAAAAPAAAAAAAAAAEAIAAAACIAAABkcnMvZG93bnJldi54bWxQSwECFAAUAAAACACHTuJAMy8F&#10;njsAAAA5AAAAEAAAAAAAAAABACAAAAAMAQAAZHJzL3NoYXBleG1sLnhtbFBLBQYAAAAABgAGAFsB&#10;AAC2AwAAAAA=&#10;" adj="-183,57235">
                            <v:fill on="f" focussize="0,0"/>
                            <v:stroke color="#000000" joinstyle="round" endarrow="block"/>
                            <v:imagedata o:title=""/>
                            <o:lock v:ext="edit" aspectratio="f"/>
                          </v:shape>
                          <v:shape id="直接箭头连接符 17" o:spid="_x0000_s1026" o:spt="32" type="#_x0000_t32" style="position:absolute;left:8347;top:3407;flip:x;height:0;width:974;" filled="f" stroked="t" coordsize="21600,21600" o:gfxdata="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9D3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肘形连接符 20" o:spid="_x0000_s1026" o:spt="35" type="#_x0000_t35" style="position:absolute;left:3277;top:3438;flip:x y;height:2212;width:1196;rotation:11796480f;" filled="f" stroked="t" coordsize="21600,21600" o:gfxdata="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2P4L4A&#10;AADcAAAADwAAAAAAAAABACAAAAAiAAAAZHJzL2Rvd25yZXYueG1sUEsBAhQAFAAAAAgAh07iQDMv&#10;BZ47AAAAOQAAABAAAAAAAAAAAQAgAAAADQEAAGRycy9zaGFwZXhtbC54bWxQSwUGAAAAAAYABgBb&#10;AQAAtwMAAAAA&#10;" adj="-6773,21590">
                            <v:fill on="f" focussize="0,0"/>
                            <v:stroke color="#000000" joinstyle="round" endarrow="block"/>
                            <v:imagedata o:title=""/>
                            <o:lock v:ext="edit" aspectratio="f"/>
                          </v:shape>
                          <v:shape id="肘形连接符 22" o:spid="_x0000_s1026" o:spt="34" type="#_x0000_t34" style="position:absolute;left:6468;top:3720;flip:y;height:1929;width:312;" filled="f" stroked="t" coordsize="21600,21600" o:gfxdata="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zqA6vQAA&#10;ANwAAAAPAAAAAAAAAAEAIAAAACIAAABkcnMvZG93bnJldi54bWxQSwECFAAUAAAACACHTuJAMy8F&#10;njsAAAA5AAAAEAAAAAAAAAABACAAAAAMAQAAZHJzL3NoYXBleG1sLnhtbFBLBQYAAAAABgAGAFsB&#10;AAC2AwAAAAA=&#10;" adj="21438">
                            <v:fill on="f" focussize="0,0"/>
                            <v:stroke color="#000000" joinstyle="round" endarrow="block"/>
                            <v:imagedata o:title=""/>
                            <o:lock v:ext="edit" aspectratio="f"/>
                          </v:shape>
                          <v:shape id="直接箭头连接符 23" o:spid="_x0000_s1026" o:spt="32" type="#_x0000_t32" style="position:absolute;left:4938;top:3420;flip:x;height:0;width:1230;" filled="f" stroked="t" coordsize="21600,21600" o:gfxdata="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Hd2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直接箭头连接符 25" o:spid="_x0000_s1026" o:spt="32" type="#_x0000_t32" style="position:absolute;left:7223;top:7590;flip:x;height:622;width:5;" filled="f" stroked="t" coordsize="21600,21600" o:gfxdata="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RF3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肘形连接符 36" o:spid="_x0000_s1026" o:spt="33" type="#_x0000_t33" style="position:absolute;left:7503;top:12277;flip:y;height:991;width:858;rotation:11796480f;" filled="f" stroked="t" coordsize="21600,21600" o:gfxdata="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G/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直接箭头连接符 51" o:spid="_x0000_s1026" o:spt="32" type="#_x0000_t32" style="position:absolute;left:8508;top:15184;flip:x;height:0;width:1242;" filled="f" stroked="t" coordsize="21600,21600" o:gfxdata="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M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 o:spid="_x0000_s1026" o:spt="202" type="#_x0000_t202" style="position:absolute;left:8816;top:13232;height:439;width:491;" fillcolor="#FFFFFF" filled="t" stroked="t" coordsize="21600,21600" o:gfxdata="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v2KG/&#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14:paraId="2324AE11">
                                  <w:pPr>
                                    <w:rPr>
                                      <w:rFonts w:hint="eastAsia" w:eastAsia="宋体"/>
                                      <w:sz w:val="20"/>
                                      <w:szCs w:val="20"/>
                                      <w:lang w:val="en-US" w:eastAsia="zh-CN"/>
                                    </w:rPr>
                                  </w:pPr>
                                  <w:r>
                                    <w:rPr>
                                      <w:rFonts w:hint="eastAsia"/>
                                      <w:sz w:val="20"/>
                                      <w:szCs w:val="20"/>
                                      <w:lang w:val="en-US" w:eastAsia="zh-CN"/>
                                    </w:rPr>
                                    <w:t>是</w:t>
                                  </w:r>
                                </w:p>
                              </w:txbxContent>
                            </v:textbox>
                          </v:shape>
                          <v:shape id="文本框 3" o:spid="_x0000_s1026" o:spt="202" type="#_x0000_t202" style="position:absolute;left:7598;top:14153;height:513;width:545;" fillcolor="#FFFFFF" filled="t" stroked="t" coordsize="21600,21600" o:gfxdata="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BM07sAAADc&#10;AAAADwAAAAAAAAABACAAAAAiAAAAZHJzL2Rvd25yZXYueG1sUEsBAhQAFAAAAAgAh07iQDMvBZ47&#10;AAAAOQAAABAAAAAAAAAAAQAgAAAACgEAAGRycy9zaGFwZXhtbC54bWxQSwUGAAAAAAYABgBbAQAA&#10;tAMAAAAA&#10;">
                            <v:fill on="t" focussize="0,0"/>
                            <v:stroke weight="0.5pt" color="#FFFFFF" joinstyle="round"/>
                            <v:imagedata o:title=""/>
                            <o:lock v:ext="edit" aspectratio="f"/>
                            <v:textbox>
                              <w:txbxContent>
                                <w:p w14:paraId="5BF3474D">
                                  <w:pPr>
                                    <w:rPr>
                                      <w:rFonts w:hint="eastAsia" w:eastAsia="宋体"/>
                                      <w:lang w:eastAsia="zh-CN"/>
                                    </w:rPr>
                                  </w:pPr>
                                  <w:r>
                                    <w:rPr>
                                      <w:rFonts w:hint="eastAsia"/>
                                      <w:lang w:eastAsia="zh-CN"/>
                                    </w:rPr>
                                    <w:t>否</w:t>
                                  </w:r>
                                </w:p>
                              </w:txbxContent>
                            </v:textbox>
                          </v:shape>
                          <v:shape id="直接箭头连接符 10" o:spid="_x0000_s1026" o:spt="32" type="#_x0000_t32" style="position:absolute;left:9460;top:11357;height:650;width:9;" filled="f" stroked="t" coordsize="21600,21600" o:gfxdata="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cmt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肘形连接符 29" o:spid="_x0000_s1026" o:spt="34" type="#_x0000_t34" style="position:absolute;left:5510;top:10960;flip:y;height:2751;width:2841;" filled="f" stroked="t" coordsize="21600,21600" o:gfxdata="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rni8AAAA&#10;3AAAAA8AAAAAAAAAAQAgAAAAIgAAAGRycy9kb3ducmV2LnhtbFBLAQIUABQAAAAIAIdO4kAzLwWe&#10;OwAAADkAAAAQAAAAAAAAAAEAIAAAAAsBAABkcnMvc2hhcGV4bWwueG1sUEsFBgAAAAAGAAYAWwEA&#10;ALUDAAAAAA==&#10;" adj="3034">
                            <v:fill on="f" focussize="0,0"/>
                            <v:stroke color="#000000" joinstyle="round" endarrow="block"/>
                            <v:imagedata o:title=""/>
                            <o:lock v:ext="edit" aspectratio="f"/>
                          </v:shape>
                          <v:shape id="直接箭头连接符 32" o:spid="_x0000_s1026" o:spt="32" type="#_x0000_t32" style="position:absolute;left:5318;top:10776;flip:x y;height:15;width:3020;" filled="f" stroked="t" coordsize="21600,21600" o:gfxdata="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xe+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33" o:spid="_x0000_s1026" o:spt="202" type="#_x0000_t202" style="position:absolute;left:5972;top:11933;height:580;width:545;" fillcolor="#FFFFFF" filled="t" stroked="t" coordsize="21600,21600" o:gfxdata="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we3kvQAA&#10;ANw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14:paraId="144ACBEE">
                                  <w:pPr>
                                    <w:rPr>
                                      <w:rFonts w:hint="eastAsia" w:eastAsia="宋体"/>
                                      <w:lang w:eastAsia="zh-CN"/>
                                    </w:rPr>
                                  </w:pPr>
                                  <w:r>
                                    <w:rPr>
                                      <w:rFonts w:hint="eastAsia"/>
                                      <w:lang w:eastAsia="zh-CN"/>
                                    </w:rPr>
                                    <w:t>否</w:t>
                                  </w:r>
                                </w:p>
                              </w:txbxContent>
                            </v:textbox>
                          </v:shape>
                          <v:shape id="文本框 37" o:spid="_x0000_s1026" o:spt="202" type="#_x0000_t202" style="position:absolute;left:4383;top:14391;height:506;width:491;" fillcolor="#FFFFFF" filled="t" stroked="t" coordsize="21600,21600" o:gfxdata="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NSH+/&#10;AAAA3AAAAA8AAAAAAAAAAQAgAAAAIgAAAGRycy9kb3ducmV2LnhtbFBLAQIUABQAAAAIAIdO4kAz&#10;LwWeOwAAADkAAAAQAAAAAAAAAAEAIAAAAA4BAABkcnMvc2hhcGV4bWwueG1sUEsFBgAAAAAGAAYA&#10;WwEAALgDAAAAAA==&#10;">
                            <v:fill on="t" focussize="0,0"/>
                            <v:stroke weight="0.5pt" color="#FFFFFF" joinstyle="round"/>
                            <v:imagedata o:title=""/>
                            <o:lock v:ext="edit" aspectratio="f"/>
                            <v:textbox>
                              <w:txbxContent>
                                <w:p w14:paraId="4CD3B5E3">
                                  <w:pPr>
                                    <w:rPr>
                                      <w:rFonts w:hint="eastAsia" w:eastAsia="宋体"/>
                                      <w:sz w:val="20"/>
                                      <w:szCs w:val="20"/>
                                      <w:lang w:val="en-US" w:eastAsia="zh-CN"/>
                                    </w:rPr>
                                  </w:pPr>
                                  <w:r>
                                    <w:rPr>
                                      <w:rFonts w:hint="eastAsia"/>
                                      <w:sz w:val="20"/>
                                      <w:szCs w:val="20"/>
                                      <w:lang w:val="en-US" w:eastAsia="zh-CN"/>
                                    </w:rPr>
                                    <w:t>是</w:t>
                                  </w:r>
                                </w:p>
                              </w:txbxContent>
                            </v:textbox>
                          </v:shape>
                        </v:group>
                      </v:group>
                    </v:group>
                    <v:rect id="Rectangle 106" o:spid="_x0000_s1026" o:spt="1" style="position:absolute;left:3435;top:11865;height:906;width:1915;" fillcolor="#FFFFFF" filled="t" stroked="t" coordsize="21600,21600" o:gfxdata="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iru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6B9C1C70">
                            <w:pPr>
                              <w:jc w:val="center"/>
                              <w:rPr>
                                <w:rFonts w:hint="eastAsia"/>
                                <w:sz w:val="20"/>
                                <w:szCs w:val="20"/>
                              </w:rPr>
                            </w:pPr>
                            <w:r>
                              <w:rPr>
                                <w:rFonts w:hint="eastAsia"/>
                                <w:sz w:val="20"/>
                                <w:szCs w:val="20"/>
                              </w:rPr>
                              <w:t>保险公司</w:t>
                            </w:r>
                            <w:r>
                              <w:rPr>
                                <w:rFonts w:hint="eastAsia"/>
                                <w:sz w:val="20"/>
                                <w:szCs w:val="20"/>
                                <w:lang w:eastAsia="zh-CN"/>
                              </w:rPr>
                              <w:t>确认</w:t>
                            </w:r>
                            <w:r>
                              <w:rPr>
                                <w:rFonts w:hint="eastAsia"/>
                                <w:sz w:val="20"/>
                                <w:szCs w:val="20"/>
                              </w:rPr>
                              <w:t>调解/和解</w:t>
                            </w:r>
                            <w:r>
                              <w:rPr>
                                <w:sz w:val="20"/>
                                <w:szCs w:val="20"/>
                              </w:rPr>
                              <w:t>方案</w:t>
                            </w:r>
                          </w:p>
                        </w:txbxContent>
                      </v:textbox>
                    </v:rect>
                    <v:shape id="AutoShape 87" o:spid="_x0000_s1026" o:spt="110" type="#_x0000_t110" style="position:absolute;left:3221;top:13262;height:897;width:2289;" fillcolor="#FFFFFF" filled="t" stroked="t" coordsize="21600,21600" o:gfxdata="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W8D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14:paraId="3803A9EE">
                            <w:pPr>
                              <w:rPr>
                                <w:sz w:val="18"/>
                                <w:szCs w:val="18"/>
                              </w:rPr>
                            </w:pPr>
                            <w:r>
                              <w:rPr>
                                <w:rFonts w:hint="eastAsia"/>
                                <w:sz w:val="18"/>
                                <w:szCs w:val="18"/>
                                <w:lang w:eastAsia="zh-CN"/>
                              </w:rPr>
                              <w:t>是否成功</w:t>
                            </w:r>
                          </w:p>
                        </w:txbxContent>
                      </v:textbox>
                    </v:shape>
                  </v:group>
                  <v:shape id="直接箭头连接符 52" o:spid="_x0000_s1026" o:spt="32" type="#_x0000_t32" style="position:absolute;left:8179;top:14152;height:778;width:0;" filled="f" stroked="t" coordsize="21600,21600" o:gfxdata="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JB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肘形连接符 54" o:spid="_x0000_s1026" o:spt="34" type="#_x0000_t34" style="position:absolute;left:8422;top:13667;flip:y;height:1934;width:830;rotation:-5898240f;" filled="f" stroked="t" coordsize="21600,21600" o:gfxdata="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Ki0S/&#10;AAAA3AAAAA8AAAAAAAAAAQAgAAAAIgAAAGRycy9kb3ducmV2LnhtbFBLAQIUABQAAAAIAIdO4kAz&#10;LwWeOwAAADkAAAAQAAAAAAAAAAEAIAAAAA4BAABkcnMvc2hhcGV4bWwueG1sUEsFBgAAAAAGAAYA&#10;WwEAALgDAAAAAA==&#10;" adj="10800">
                  <v:fill on="f" focussize="0,0"/>
                  <v:stroke color="#000000" joinstyle="round" endarrow="block"/>
                  <v:imagedata o:title=""/>
                  <o:lock v:ext="edit" aspectratio="f"/>
                </v:shape>
                <v:shape id="文本框 55" o:spid="_x0000_s1026" o:spt="202" type="#_x0000_t202" style="position:absolute;left:8911;top:15049;height:450;width:1785;" fillcolor="#FFFFFF" filled="t" stroked="t" coordsize="21600,21600" o:gfxdata="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7rKy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1CB33E0D">
                        <w:pPr>
                          <w:jc w:val="center"/>
                          <w:rPr>
                            <w:rFonts w:hint="eastAsia" w:eastAsia="宋体"/>
                            <w:lang w:eastAsia="zh-CN"/>
                          </w:rPr>
                        </w:pPr>
                        <w:r>
                          <w:rPr>
                            <w:rFonts w:hint="eastAsia"/>
                            <w:lang w:eastAsia="zh-CN"/>
                          </w:rPr>
                          <w:t>或</w:t>
                        </w:r>
                        <w:r>
                          <w:rPr>
                            <w:rFonts w:hint="eastAsia"/>
                          </w:rPr>
                          <w:t>支付给</w:t>
                        </w:r>
                        <w:r>
                          <w:rPr>
                            <w:rFonts w:hint="eastAsia"/>
                            <w:lang w:eastAsia="zh-CN"/>
                          </w:rPr>
                          <w:t>医院</w:t>
                        </w:r>
                      </w:p>
                    </w:txbxContent>
                  </v:textbox>
                </v:shape>
                <v:shape id="文本框 56" o:spid="_x0000_s1026" o:spt="202" type="#_x0000_t202" style="position:absolute;left:5595;top:15051;height:495;width:1514;" fillcolor="#FFFFFF" filled="t" stroked="t" coordsize="21600,21600" o:gfxdata="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9m9S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095CD76A">
                        <w:pPr>
                          <w:jc w:val="center"/>
                          <w:rPr>
                            <w:rFonts w:hint="eastAsia" w:eastAsia="宋体"/>
                            <w:lang w:eastAsia="zh-CN"/>
                          </w:rPr>
                        </w:pPr>
                        <w:r>
                          <w:rPr>
                            <w:rFonts w:hint="eastAsia"/>
                          </w:rPr>
                          <w:t>支付给</w:t>
                        </w:r>
                        <w:r>
                          <w:rPr>
                            <w:rFonts w:hint="eastAsia"/>
                            <w:lang w:eastAsia="zh-CN"/>
                          </w:rPr>
                          <w:t>患方</w:t>
                        </w:r>
                      </w:p>
                    </w:txbxContent>
                  </v:textbox>
                </v:shape>
                <v:shape id="肘形连接符 57" o:spid="_x0000_s1026" o:spt="34" type="#_x0000_t34" style="position:absolute;left:6695;top:13876;height:1518;width:832;rotation:5898240f;" filled="f" stroked="t" coordsize="21600,21600" o:gfxdata="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Cl5e8AAAA&#10;3AAAAA8AAAAAAAAAAQAgAAAAIgAAAGRycy9kb3ducmV2LnhtbFBLAQIUABQAAAAIAIdO4kAzLwWe&#10;OwAAADkAAAAQAAAAAAAAAAEAIAAAAAsBAABkcnMvc2hhcGV4bWwueG1sUEsFBgAAAAAGAAYAWwEA&#10;ALUDAAAAAA==&#10;" adj="10800">
                  <v:fill on="f" focussize="0,0"/>
                  <v:stroke color="#000000" joinstyle="round" endarrow="block"/>
                  <v:imagedata o:title=""/>
                  <o:lock v:ext="edit" aspectratio="f"/>
                </v:shape>
              </v:group>
            </w:pict>
          </mc:Fallback>
        </mc:AlternateContent>
      </w:r>
      <w:r>
        <w:rPr>
          <w:rFonts w:ascii="宋体" w:hAnsi="宋体"/>
          <w:b/>
          <w:sz w:val="32"/>
          <w:szCs w:val="32"/>
        </w:rPr>
        <w:br w:type="page"/>
      </w:r>
      <w:r>
        <w:rPr>
          <w:rFonts w:hint="eastAsia" w:ascii="宋体" w:hAnsi="宋体"/>
          <w:b/>
          <w:sz w:val="21"/>
          <w:szCs w:val="21"/>
        </w:rPr>
        <w:t>二、接、报案程序</w:t>
      </w:r>
    </w:p>
    <w:p w14:paraId="1BB5FE4C">
      <w:pPr>
        <w:pStyle w:val="32"/>
        <w:numPr>
          <w:ilvl w:val="0"/>
          <w:numId w:val="8"/>
        </w:numPr>
        <w:spacing w:beforeLines="90" w:afterLines="90"/>
        <w:ind w:left="980" w:hanging="420" w:firstLineChars="0"/>
        <w:rPr>
          <w:rFonts w:ascii="宋体" w:hAnsi="宋体"/>
          <w:b/>
          <w:bCs/>
          <w:sz w:val="21"/>
          <w:szCs w:val="21"/>
        </w:rPr>
      </w:pPr>
      <w:r>
        <w:rPr>
          <w:rFonts w:hint="eastAsia" w:ascii="宋体" w:hAnsi="宋体"/>
          <w:b/>
          <w:bCs/>
          <w:sz w:val="21"/>
          <w:szCs w:val="21"/>
        </w:rPr>
        <w:t>接、报案方式</w:t>
      </w:r>
    </w:p>
    <w:p w14:paraId="12A6F7B2">
      <w:pPr>
        <w:spacing w:beforeLines="50"/>
        <w:ind w:firstLine="420" w:firstLineChars="200"/>
        <w:rPr>
          <w:rFonts w:ascii="宋体" w:hAnsi="宋体"/>
          <w:bCs/>
          <w:sz w:val="21"/>
          <w:szCs w:val="21"/>
        </w:rPr>
      </w:pPr>
      <w:r>
        <w:rPr>
          <w:rFonts w:hint="eastAsia" w:ascii="宋体" w:hAnsi="宋体"/>
          <w:bCs/>
          <w:sz w:val="21"/>
          <w:szCs w:val="21"/>
        </w:rPr>
        <w:t>医疗责任保险案件分电话报案与系统报案</w:t>
      </w:r>
      <w:r>
        <w:rPr>
          <w:rFonts w:hint="eastAsia" w:ascii="宋体" w:hAnsi="宋体"/>
          <w:bCs/>
          <w:sz w:val="21"/>
          <w:szCs w:val="21"/>
          <w:lang w:eastAsia="zh-CN"/>
        </w:rPr>
        <w:t>两</w:t>
      </w:r>
      <w:r>
        <w:rPr>
          <w:rFonts w:hint="eastAsia" w:ascii="宋体" w:hAnsi="宋体"/>
          <w:bCs/>
          <w:sz w:val="21"/>
          <w:szCs w:val="21"/>
        </w:rPr>
        <w:t>种形式。</w:t>
      </w:r>
      <w:r>
        <w:rPr>
          <w:rFonts w:hint="eastAsia" w:ascii="宋体" w:hAnsi="宋体" w:eastAsia="宋体" w:cs="Times New Roman"/>
          <w:bCs/>
          <w:color w:val="auto"/>
          <w:sz w:val="21"/>
          <w:szCs w:val="21"/>
          <w:highlight w:val="none"/>
          <w:lang w:val="en-US" w:eastAsia="zh-CN"/>
        </w:rPr>
        <w:t>医疗机构通过以下任一种途径报案</w:t>
      </w:r>
      <w:r>
        <w:rPr>
          <w:rFonts w:hint="eastAsia" w:ascii="宋体" w:hAnsi="宋体" w:cs="Times New Roman"/>
          <w:bCs/>
          <w:color w:val="auto"/>
          <w:sz w:val="21"/>
          <w:szCs w:val="21"/>
          <w:highlight w:val="none"/>
          <w:lang w:val="en-US" w:eastAsia="zh-CN"/>
        </w:rPr>
        <w:t>视为向保险公司履行保险事故通知义务。</w:t>
      </w:r>
    </w:p>
    <w:p w14:paraId="59FB5AE6">
      <w:pPr>
        <w:spacing w:beforeLines="50" w:afterLines="50"/>
        <w:ind w:firstLine="420" w:firstLineChars="200"/>
        <w:rPr>
          <w:rFonts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电话报案</w:t>
      </w:r>
    </w:p>
    <w:p w14:paraId="76778583">
      <w:pPr>
        <w:spacing w:beforeLines="50"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（1）“</w:t>
      </w:r>
      <w:r>
        <w:rPr>
          <w:rFonts w:hint="eastAsia" w:ascii="宋体" w:hAnsi="宋体"/>
          <w:bCs/>
          <w:sz w:val="21"/>
          <w:szCs w:val="21"/>
          <w:highlight w:val="none"/>
          <w:lang w:eastAsia="zh-CN"/>
        </w:rPr>
        <w:t>广州公益医调委</w:t>
      </w:r>
      <w:r>
        <w:rPr>
          <w:rFonts w:hint="eastAsia" w:ascii="宋体" w:hAnsi="宋体"/>
          <w:bCs/>
          <w:sz w:val="21"/>
          <w:szCs w:val="21"/>
          <w:highlight w:val="none"/>
        </w:rPr>
        <w:t>”报案：020-83589360</w:t>
      </w:r>
    </w:p>
    <w:p w14:paraId="67DD5571">
      <w:pPr>
        <w:spacing w:beforeLines="50" w:line="360" w:lineRule="auto"/>
        <w:ind w:firstLine="420" w:firstLineChars="200"/>
        <w:rPr>
          <w:rFonts w:hint="eastAsia" w:ascii="宋体" w:hAnsi="宋体"/>
          <w:bCs/>
          <w:sz w:val="21"/>
          <w:szCs w:val="21"/>
          <w:lang w:val="en-US" w:eastAsia="zh-CN"/>
        </w:rPr>
      </w:pPr>
      <w:r>
        <w:rPr>
          <w:rFonts w:hint="eastAsia" w:ascii="宋体" w:hAnsi="宋体"/>
          <w:bCs/>
          <w:sz w:val="21"/>
          <w:szCs w:val="21"/>
        </w:rPr>
        <w:t>（</w:t>
      </w:r>
      <w:r>
        <w:rPr>
          <w:rFonts w:hint="eastAsia" w:ascii="宋体" w:hAnsi="宋体"/>
          <w:bCs/>
          <w:sz w:val="21"/>
          <w:szCs w:val="21"/>
          <w:lang w:val="en-US" w:eastAsia="zh-CN"/>
        </w:rPr>
        <w:t>2</w:t>
      </w:r>
      <w:r>
        <w:rPr>
          <w:rFonts w:hint="eastAsia" w:ascii="宋体" w:hAnsi="宋体"/>
          <w:bCs/>
          <w:sz w:val="21"/>
          <w:szCs w:val="21"/>
        </w:rPr>
        <w:t>）</w:t>
      </w:r>
      <w:r>
        <w:rPr>
          <w:rFonts w:hint="eastAsia" w:ascii="宋体" w:hAnsi="宋体"/>
          <w:bCs/>
          <w:sz w:val="21"/>
          <w:szCs w:val="21"/>
          <w:lang w:val="en-US" w:eastAsia="zh-CN"/>
        </w:rPr>
        <w:t>保险</w:t>
      </w:r>
      <w:r>
        <w:rPr>
          <w:rFonts w:hint="eastAsia" w:ascii="宋体" w:hAnsi="宋体"/>
          <w:bCs/>
          <w:sz w:val="21"/>
          <w:szCs w:val="21"/>
        </w:rPr>
        <w:t>经纪公司报案电话：</w:t>
      </w:r>
    </w:p>
    <w:p w14:paraId="4A4BF741">
      <w:pPr>
        <w:pStyle w:val="30"/>
        <w:ind w:left="0" w:leftChars="0" w:firstLine="420" w:firstLineChars="200"/>
        <w:rPr>
          <w:rFonts w:hint="eastAsia" w:ascii="宋体" w:hAnsi="宋体"/>
          <w:bCs/>
          <w:sz w:val="21"/>
          <w:szCs w:val="21"/>
          <w:lang w:eastAsia="zh-CN"/>
        </w:rPr>
      </w:pPr>
      <w:r>
        <w:rPr>
          <w:rFonts w:hint="eastAsia"/>
          <w:bCs/>
          <w:sz w:val="21"/>
          <w:szCs w:val="21"/>
          <w:lang w:val="en-US" w:eastAsia="zh-CN"/>
        </w:rPr>
        <w:t>2.</w:t>
      </w:r>
      <w:r>
        <w:rPr>
          <w:rFonts w:hint="eastAsia" w:ascii="宋体" w:hAnsi="宋体"/>
          <w:bCs/>
          <w:sz w:val="21"/>
          <w:szCs w:val="21"/>
        </w:rPr>
        <w:t>系统报案</w:t>
      </w:r>
      <w:r>
        <w:rPr>
          <w:rFonts w:hint="eastAsia" w:ascii="宋体" w:hAnsi="宋体"/>
          <w:bCs/>
          <w:sz w:val="21"/>
          <w:szCs w:val="21"/>
          <w:lang w:eastAsia="zh-CN"/>
        </w:rPr>
        <w:t>：参保医疗机构可通过广东和谐医调委医疗纠纷信息系统进行报案。</w:t>
      </w:r>
      <w:r>
        <w:rPr>
          <w:rFonts w:hint="eastAsia"/>
          <w:bCs/>
          <w:sz w:val="21"/>
          <w:szCs w:val="21"/>
          <w:lang w:eastAsia="zh-CN"/>
        </w:rPr>
        <w:t>系统地址：http://183.6.169.155/yhpt/</w:t>
      </w:r>
    </w:p>
    <w:p w14:paraId="7EA372D8">
      <w:pPr>
        <w:pStyle w:val="30"/>
        <w:ind w:left="0" w:leftChars="0" w:firstLine="420" w:firstLineChars="200"/>
        <w:rPr>
          <w:rFonts w:hint="default"/>
          <w:sz w:val="21"/>
          <w:szCs w:val="21"/>
          <w:lang w:val="en-US"/>
        </w:rPr>
      </w:pPr>
      <w:r>
        <w:rPr>
          <w:rFonts w:hint="eastAsia"/>
          <w:bCs/>
          <w:sz w:val="21"/>
          <w:szCs w:val="21"/>
          <w:lang w:val="en-US" w:eastAsia="zh-CN"/>
        </w:rPr>
        <w:t>3.邮件报案：</w:t>
      </w:r>
    </w:p>
    <w:p w14:paraId="1DDE7D00">
      <w:pPr>
        <w:pStyle w:val="32"/>
        <w:numPr>
          <w:ilvl w:val="0"/>
          <w:numId w:val="8"/>
        </w:numPr>
        <w:spacing w:beforeLines="90" w:afterLines="90"/>
        <w:ind w:left="980" w:hanging="420" w:firstLineChars="0"/>
        <w:rPr>
          <w:rFonts w:ascii="宋体" w:hAnsi="宋体"/>
          <w:b/>
          <w:bCs/>
          <w:sz w:val="21"/>
          <w:szCs w:val="21"/>
        </w:rPr>
      </w:pPr>
      <w:r>
        <w:rPr>
          <w:rFonts w:hint="eastAsia" w:ascii="宋体" w:hAnsi="宋体"/>
          <w:b/>
          <w:bCs/>
          <w:sz w:val="21"/>
          <w:szCs w:val="21"/>
        </w:rPr>
        <w:t>接、报案内容</w:t>
      </w:r>
    </w:p>
    <w:p w14:paraId="02528CEB">
      <w:pPr>
        <w:spacing w:beforeLines="50" w:line="360" w:lineRule="auto"/>
        <w:ind w:firstLine="420" w:firstLineChars="200"/>
        <w:rPr>
          <w:rFonts w:ascii="宋体" w:hAnsi="宋体"/>
          <w:bCs/>
          <w:sz w:val="21"/>
          <w:szCs w:val="21"/>
        </w:rPr>
      </w:pPr>
      <w:r>
        <w:rPr>
          <w:rFonts w:hint="eastAsia" w:ascii="宋体" w:hAnsi="宋体"/>
          <w:bCs/>
          <w:sz w:val="21"/>
          <w:szCs w:val="21"/>
        </w:rPr>
        <w:t>报案内容包括：保单号；参保医疗机构名称；参保医疗机构报案人及联系电话；医疗纠纷发生时间（患</w:t>
      </w:r>
      <w:r>
        <w:rPr>
          <w:rFonts w:hint="eastAsia" w:ascii="宋体" w:hAnsi="宋体"/>
          <w:bCs/>
          <w:sz w:val="21"/>
          <w:szCs w:val="21"/>
          <w:lang w:eastAsia="zh-CN"/>
        </w:rPr>
        <w:t>方</w:t>
      </w:r>
      <w:r>
        <w:rPr>
          <w:rFonts w:hint="eastAsia" w:ascii="宋体" w:hAnsi="宋体"/>
          <w:bCs/>
          <w:sz w:val="21"/>
          <w:szCs w:val="21"/>
        </w:rPr>
        <w:t>首次投诉时间、参保医疗机构报案时间）；医疗纠纷病情简述；患</w:t>
      </w:r>
      <w:r>
        <w:rPr>
          <w:rFonts w:hint="eastAsia" w:ascii="宋体" w:hAnsi="宋体"/>
          <w:bCs/>
          <w:sz w:val="21"/>
          <w:szCs w:val="21"/>
          <w:lang w:eastAsia="zh-CN"/>
        </w:rPr>
        <w:t>方</w:t>
      </w:r>
      <w:r>
        <w:rPr>
          <w:rFonts w:hint="eastAsia" w:ascii="宋体" w:hAnsi="宋体"/>
          <w:bCs/>
          <w:sz w:val="21"/>
          <w:szCs w:val="21"/>
        </w:rPr>
        <w:t>诉求；医疗机构意见等。</w:t>
      </w:r>
    </w:p>
    <w:p w14:paraId="2B2436D8">
      <w:pPr>
        <w:spacing w:beforeLines="90" w:afterLines="90"/>
        <w:rPr>
          <w:rFonts w:ascii="宋体" w:hAnsi="宋体"/>
          <w:b/>
          <w:sz w:val="21"/>
          <w:szCs w:val="21"/>
        </w:rPr>
      </w:pPr>
      <w:r>
        <w:rPr>
          <w:rFonts w:hint="eastAsia" w:ascii="宋体" w:hAnsi="宋体"/>
          <w:b/>
          <w:sz w:val="21"/>
          <w:szCs w:val="21"/>
        </w:rPr>
        <w:t>三、医调委介入程序</w:t>
      </w:r>
    </w:p>
    <w:p w14:paraId="316350FF">
      <w:pPr>
        <w:pStyle w:val="32"/>
        <w:spacing w:beforeLines="50"/>
        <w:ind w:firstLineChars="0"/>
        <w:rPr>
          <w:rFonts w:ascii="宋体" w:hAnsi="宋体"/>
          <w:b/>
          <w:bCs/>
          <w:sz w:val="21"/>
          <w:szCs w:val="21"/>
        </w:rPr>
      </w:pPr>
      <w:r>
        <w:rPr>
          <w:rFonts w:hint="eastAsia" w:ascii="宋体" w:hAnsi="宋体"/>
          <w:b/>
          <w:bCs/>
          <w:sz w:val="21"/>
          <w:szCs w:val="21"/>
        </w:rPr>
        <w:t>（一）特发、重大案件现场处理</w:t>
      </w:r>
    </w:p>
    <w:p w14:paraId="2ACAE744">
      <w:pPr>
        <w:spacing w:beforeLines="50" w:line="360" w:lineRule="auto"/>
        <w:ind w:firstLine="420" w:firstLineChars="200"/>
        <w:rPr>
          <w:rFonts w:ascii="宋体" w:hAnsi="宋体"/>
          <w:bCs/>
          <w:sz w:val="21"/>
          <w:szCs w:val="21"/>
        </w:rPr>
      </w:pPr>
      <w:r>
        <w:rPr>
          <w:rFonts w:hint="eastAsia" w:ascii="宋体" w:hAnsi="宋体"/>
          <w:bCs/>
          <w:sz w:val="21"/>
          <w:szCs w:val="21"/>
        </w:rPr>
        <w:t>对于特发、重大案件，医疗机构在案件发生后立即通知当地医调委，由医调委按照程序组织调解员进行现场调查、取证，介入调解。</w:t>
      </w:r>
    </w:p>
    <w:p w14:paraId="346C172E">
      <w:pPr>
        <w:pStyle w:val="32"/>
        <w:spacing w:beforeLines="50"/>
        <w:ind w:firstLineChars="0"/>
        <w:rPr>
          <w:rFonts w:ascii="宋体" w:hAnsi="宋体"/>
          <w:b/>
          <w:bCs/>
          <w:sz w:val="21"/>
          <w:szCs w:val="21"/>
        </w:rPr>
      </w:pPr>
      <w:r>
        <w:rPr>
          <w:rFonts w:hint="eastAsia" w:ascii="宋体" w:hAnsi="宋体"/>
          <w:b/>
          <w:bCs/>
          <w:sz w:val="21"/>
          <w:szCs w:val="21"/>
        </w:rPr>
        <w:t>（二）医调委案件处理程序</w:t>
      </w:r>
    </w:p>
    <w:p w14:paraId="7F888DA6">
      <w:pPr>
        <w:spacing w:beforeLines="50" w:line="360" w:lineRule="auto"/>
        <w:ind w:firstLine="420" w:firstLineChars="200"/>
        <w:rPr>
          <w:rFonts w:ascii="宋体" w:hAnsi="宋体"/>
          <w:bCs/>
          <w:sz w:val="21"/>
          <w:szCs w:val="21"/>
          <w:highlight w:val="none"/>
        </w:rPr>
      </w:pPr>
      <w:r>
        <w:rPr>
          <w:rFonts w:hint="eastAsia" w:ascii="宋体" w:hAnsi="宋体"/>
          <w:bCs/>
          <w:sz w:val="21"/>
          <w:szCs w:val="21"/>
          <w:highlight w:val="none"/>
        </w:rPr>
        <w:t>“广东</w:t>
      </w:r>
      <w:r>
        <w:rPr>
          <w:rFonts w:hint="eastAsia" w:ascii="宋体" w:hAnsi="宋体"/>
          <w:bCs/>
          <w:sz w:val="21"/>
          <w:szCs w:val="21"/>
          <w:highlight w:val="none"/>
          <w:lang w:eastAsia="zh-CN"/>
        </w:rPr>
        <w:t>和谐</w:t>
      </w:r>
      <w:r>
        <w:rPr>
          <w:rFonts w:hint="eastAsia" w:ascii="宋体" w:hAnsi="宋体"/>
          <w:bCs/>
          <w:sz w:val="21"/>
          <w:szCs w:val="21"/>
          <w:highlight w:val="none"/>
        </w:rPr>
        <w:t>医调委”根据医疗纠纷案件赔付金额（不含法律费用），作以下区分处理：</w:t>
      </w:r>
    </w:p>
    <w:p w14:paraId="2DDE0F76">
      <w:pPr>
        <w:spacing w:beforeLines="50"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eastAsia="zh-CN"/>
        </w:rPr>
        <w:t>1.</w:t>
      </w:r>
      <w:r>
        <w:rPr>
          <w:rFonts w:hint="eastAsia" w:ascii="宋体" w:hAnsi="宋体"/>
          <w:bCs/>
          <w:sz w:val="21"/>
          <w:szCs w:val="21"/>
          <w:highlight w:val="none"/>
        </w:rPr>
        <w:t>赔付金额（不含法律费用）在2万元以内（含2万元）的医疗纠纷案件（不含法律费用），人民调解员有权自主</w:t>
      </w:r>
      <w:r>
        <w:rPr>
          <w:rFonts w:hint="eastAsia" w:ascii="宋体" w:hAnsi="宋体"/>
          <w:bCs/>
          <w:sz w:val="21"/>
          <w:szCs w:val="21"/>
          <w:highlight w:val="none"/>
          <w:lang w:eastAsia="zh-CN"/>
        </w:rPr>
        <w:t>引导</w:t>
      </w:r>
      <w:r>
        <w:rPr>
          <w:rFonts w:hint="eastAsia" w:ascii="宋体" w:hAnsi="宋体"/>
          <w:bCs/>
          <w:sz w:val="21"/>
          <w:szCs w:val="21"/>
          <w:highlight w:val="none"/>
        </w:rPr>
        <w:t>医患纠纷当事人达成调解协议，达成调解协议后，保险公司根据保险合同将协议赔偿款项直接支付给患方或医疗机构。</w:t>
      </w:r>
    </w:p>
    <w:p w14:paraId="5A177FF1">
      <w:pPr>
        <w:spacing w:beforeLines="50" w:line="360" w:lineRule="auto"/>
        <w:ind w:firstLine="420" w:firstLineChars="200"/>
        <w:rPr>
          <w:rFonts w:ascii="宋体" w:hAnsi="宋体"/>
          <w:bCs/>
          <w:sz w:val="21"/>
          <w:szCs w:val="21"/>
          <w:highlight w:val="none"/>
        </w:rPr>
      </w:pPr>
      <w:r>
        <w:rPr>
          <w:rFonts w:hint="eastAsia" w:ascii="宋体" w:hAnsi="宋体"/>
          <w:bCs/>
          <w:sz w:val="21"/>
          <w:szCs w:val="21"/>
          <w:highlight w:val="none"/>
          <w:lang w:eastAsia="zh-CN"/>
        </w:rPr>
        <w:t>2.</w:t>
      </w:r>
      <w:r>
        <w:rPr>
          <w:rFonts w:hint="eastAsia" w:ascii="宋体" w:hAnsi="宋体"/>
          <w:bCs/>
          <w:sz w:val="21"/>
          <w:szCs w:val="21"/>
          <w:highlight w:val="none"/>
        </w:rPr>
        <w:t>赔付金额（不含法律费用）在2万元以上，</w:t>
      </w:r>
      <w:r>
        <w:rPr>
          <w:rFonts w:hint="eastAsia" w:ascii="宋体" w:hAnsi="宋体"/>
          <w:bCs/>
          <w:sz w:val="21"/>
          <w:szCs w:val="21"/>
          <w:highlight w:val="none"/>
          <w:lang w:val="en-US" w:eastAsia="zh-CN"/>
        </w:rPr>
        <w:t>2</w:t>
      </w:r>
      <w:r>
        <w:rPr>
          <w:rFonts w:hint="eastAsia" w:ascii="宋体" w:hAnsi="宋体"/>
          <w:bCs/>
          <w:sz w:val="21"/>
          <w:szCs w:val="21"/>
          <w:highlight w:val="none"/>
        </w:rPr>
        <w:t>0万元以内（含</w:t>
      </w:r>
      <w:r>
        <w:rPr>
          <w:rFonts w:hint="eastAsia" w:ascii="宋体" w:hAnsi="宋体"/>
          <w:bCs/>
          <w:sz w:val="21"/>
          <w:szCs w:val="21"/>
          <w:highlight w:val="none"/>
          <w:lang w:val="en-US" w:eastAsia="zh-CN"/>
        </w:rPr>
        <w:t>2</w:t>
      </w:r>
      <w:r>
        <w:rPr>
          <w:rFonts w:hint="eastAsia" w:ascii="宋体" w:hAnsi="宋体"/>
          <w:bCs/>
          <w:sz w:val="21"/>
          <w:szCs w:val="21"/>
          <w:highlight w:val="none"/>
        </w:rPr>
        <w:t>0万元）的医疗纠纷案件（不含法律费用），由“广东</w:t>
      </w:r>
      <w:r>
        <w:rPr>
          <w:rFonts w:hint="eastAsia" w:ascii="宋体" w:hAnsi="宋体"/>
          <w:bCs/>
          <w:sz w:val="21"/>
          <w:szCs w:val="21"/>
          <w:highlight w:val="none"/>
          <w:lang w:eastAsia="zh-CN"/>
        </w:rPr>
        <w:t>和谐</w:t>
      </w:r>
      <w:r>
        <w:rPr>
          <w:rFonts w:hint="eastAsia" w:ascii="宋体" w:hAnsi="宋体"/>
          <w:bCs/>
          <w:sz w:val="21"/>
          <w:szCs w:val="21"/>
          <w:highlight w:val="none"/>
        </w:rPr>
        <w:t>医调委”组织专家对案件病历等相关材料进行书面分析并核定损失。人民调解员按照专家分析意见进行调解，达成调解协议后，保险公司根据保险合同将协议赔偿款项直接支付给患方或医疗机构。</w:t>
      </w:r>
    </w:p>
    <w:p w14:paraId="585408B8">
      <w:pPr>
        <w:spacing w:beforeLines="50" w:line="360" w:lineRule="auto"/>
        <w:ind w:firstLine="420" w:firstLineChars="200"/>
        <w:rPr>
          <w:rFonts w:ascii="宋体" w:hAnsi="宋体"/>
          <w:bCs/>
          <w:sz w:val="21"/>
          <w:szCs w:val="21"/>
          <w:highlight w:val="none"/>
        </w:rPr>
      </w:pPr>
      <w:r>
        <w:rPr>
          <w:rFonts w:hint="eastAsia" w:ascii="宋体" w:hAnsi="宋体"/>
          <w:bCs/>
          <w:sz w:val="21"/>
          <w:szCs w:val="21"/>
          <w:highlight w:val="none"/>
          <w:lang w:eastAsia="zh-CN"/>
        </w:rPr>
        <w:t>3.</w:t>
      </w:r>
      <w:r>
        <w:rPr>
          <w:rFonts w:hint="eastAsia" w:ascii="宋体" w:hAnsi="宋体"/>
          <w:bCs/>
          <w:sz w:val="21"/>
          <w:szCs w:val="21"/>
          <w:highlight w:val="none"/>
        </w:rPr>
        <w:t>赔付金额（不含法律费用）在</w:t>
      </w:r>
      <w:r>
        <w:rPr>
          <w:rFonts w:hint="eastAsia" w:ascii="宋体" w:hAnsi="宋体"/>
          <w:bCs/>
          <w:sz w:val="21"/>
          <w:szCs w:val="21"/>
          <w:highlight w:val="none"/>
          <w:lang w:val="en-US" w:eastAsia="zh-CN"/>
        </w:rPr>
        <w:t>2</w:t>
      </w:r>
      <w:r>
        <w:rPr>
          <w:rFonts w:hint="eastAsia" w:ascii="宋体" w:hAnsi="宋体"/>
          <w:bCs/>
          <w:sz w:val="21"/>
          <w:szCs w:val="21"/>
          <w:highlight w:val="none"/>
        </w:rPr>
        <w:t>0万元以上的医疗纠纷案件（不含法律费用），由“</w:t>
      </w:r>
      <w:r>
        <w:rPr>
          <w:rFonts w:hint="eastAsia" w:ascii="宋体" w:hAnsi="宋体"/>
          <w:bCs/>
          <w:sz w:val="21"/>
          <w:szCs w:val="21"/>
          <w:highlight w:val="none"/>
          <w:lang w:eastAsia="zh-CN"/>
        </w:rPr>
        <w:t>广东和谐</w:t>
      </w:r>
      <w:r>
        <w:rPr>
          <w:rFonts w:hint="eastAsia" w:ascii="宋体" w:hAnsi="宋体"/>
          <w:bCs/>
          <w:sz w:val="21"/>
          <w:szCs w:val="21"/>
          <w:highlight w:val="none"/>
        </w:rPr>
        <w:t>医调委”组织召开评鉴会，由到会医学、法律专家现场就案件进行分析并核定损失。人民调解员按照评鉴会专家分析意见进行调解，达成调解协议后，保险公司根据保险合同将协议赔偿款项直接支付给患方或医疗机构。</w:t>
      </w:r>
    </w:p>
    <w:p w14:paraId="6E4B223A">
      <w:pPr>
        <w:spacing w:beforeLines="50"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eastAsia="zh-CN"/>
        </w:rPr>
        <w:t>4.</w:t>
      </w:r>
      <w:r>
        <w:rPr>
          <w:rFonts w:hint="eastAsia" w:ascii="宋体" w:hAnsi="宋体"/>
          <w:bCs/>
          <w:sz w:val="21"/>
          <w:szCs w:val="21"/>
          <w:highlight w:val="none"/>
        </w:rPr>
        <w:t>对于经过医疗事故鉴定、医疗损害鉴定程序并已有明确生效结论，继续或重新进行调解的案件，人民调解员根据鉴定结论进行调解，达成调解协议后，保险公司根据保险合同将协议赔偿款项直接支付给患方或医疗机构。</w:t>
      </w:r>
    </w:p>
    <w:p w14:paraId="0AAECF00">
      <w:pPr>
        <w:spacing w:beforeLines="50" w:line="360" w:lineRule="auto"/>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四、自主处理案件处理程序</w:t>
      </w:r>
    </w:p>
    <w:p w14:paraId="1F35DB3D">
      <w:pPr>
        <w:spacing w:beforeLines="50" w:line="360" w:lineRule="auto"/>
        <w:rPr>
          <w:rFonts w:hint="eastAsia" w:ascii="宋体" w:hAnsi="宋体"/>
          <w:b/>
          <w:bCs w:val="0"/>
          <w:color w:val="auto"/>
          <w:sz w:val="21"/>
          <w:szCs w:val="21"/>
          <w:highlight w:val="none"/>
          <w:lang w:eastAsia="zh-CN"/>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医疗机构根据合同特别约定的</w:t>
      </w:r>
      <w:r>
        <w:rPr>
          <w:rFonts w:hint="eastAsia" w:ascii="宋体" w:hAnsi="宋体"/>
          <w:bCs/>
          <w:color w:val="auto"/>
          <w:sz w:val="21"/>
          <w:szCs w:val="21"/>
          <w:highlight w:val="none"/>
          <w:lang w:eastAsia="zh-CN"/>
        </w:rPr>
        <w:t>自主处理</w:t>
      </w:r>
      <w:r>
        <w:rPr>
          <w:rFonts w:hint="eastAsia" w:ascii="宋体" w:hAnsi="宋体"/>
          <w:bCs/>
          <w:color w:val="auto"/>
          <w:sz w:val="21"/>
          <w:szCs w:val="21"/>
          <w:highlight w:val="none"/>
        </w:rPr>
        <w:t>权限</w:t>
      </w:r>
      <w:r>
        <w:rPr>
          <w:rFonts w:hint="eastAsia" w:ascii="宋体" w:hAnsi="宋体"/>
          <w:bCs/>
          <w:color w:val="auto"/>
          <w:sz w:val="21"/>
          <w:szCs w:val="21"/>
          <w:highlight w:val="none"/>
          <w:lang w:eastAsia="zh-CN"/>
        </w:rPr>
        <w:t>，自行与患者进行协商和解，在一万元内（不含法律费用）达成赔（补）偿协议，医疗机构整理好索赔资料提交保险公司进行索赔，保险公司根据医疗机构的申请将协议赔偿款项支付给患者或医疗机构。</w:t>
      </w:r>
    </w:p>
    <w:p w14:paraId="6737CBA3">
      <w:pPr>
        <w:numPr>
          <w:ilvl w:val="0"/>
          <w:numId w:val="9"/>
        </w:numPr>
        <w:spacing w:beforeLines="50" w:line="360" w:lineRule="auto"/>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司法诉讼案件处理程序</w:t>
      </w:r>
    </w:p>
    <w:p w14:paraId="76CC2C97">
      <w:pPr>
        <w:numPr>
          <w:ilvl w:val="0"/>
          <w:numId w:val="0"/>
        </w:numPr>
        <w:spacing w:beforeLines="50" w:line="360" w:lineRule="auto"/>
        <w:rPr>
          <w:rFonts w:hint="eastAsia"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 xml:space="preserve">   保险经纪公司对司法诉讼案件进行流程管理及协调：</w:t>
      </w:r>
    </w:p>
    <w:p w14:paraId="4685E8DB">
      <w:pPr>
        <w:pStyle w:val="30"/>
        <w:ind w:left="0" w:leftChars="0" w:firstLine="422" w:firstLineChars="200"/>
        <w:rPr>
          <w:rFonts w:hint="eastAsia"/>
          <w:sz w:val="21"/>
          <w:szCs w:val="21"/>
          <w:lang w:val="en-US" w:eastAsia="zh-CN"/>
        </w:rPr>
      </w:pPr>
      <w:r>
        <w:rPr>
          <w:rFonts w:hint="eastAsia"/>
          <w:b/>
          <w:bCs/>
          <w:sz w:val="21"/>
          <w:szCs w:val="21"/>
          <w:lang w:val="en-US" w:eastAsia="zh-CN"/>
        </w:rPr>
        <w:t>（一）医责险诉讼案件报案及资料提交</w:t>
      </w:r>
    </w:p>
    <w:p w14:paraId="557BCBE2">
      <w:pPr>
        <w:pStyle w:val="7"/>
        <w:ind w:left="0" w:leftChars="0" w:firstLine="0" w:firstLineChars="0"/>
        <w:rPr>
          <w:rFonts w:hint="eastAsia" w:asciiTheme="minorHAnsi" w:eastAsiaTheme="minorEastAsia"/>
          <w:b/>
          <w:bCs/>
          <w:sz w:val="21"/>
          <w:szCs w:val="21"/>
          <w:lang w:val="en-US" w:eastAsia="zh-CN"/>
        </w:rPr>
      </w:pPr>
    </w:p>
    <w:p w14:paraId="4DE9D45B">
      <w:pPr>
        <w:pStyle w:val="7"/>
        <w:numPr>
          <w:ilvl w:val="0"/>
          <w:numId w:val="10"/>
        </w:numPr>
        <w:ind w:left="0" w:leftChars="0" w:firstLine="422" w:firstLineChars="200"/>
        <w:rPr>
          <w:rFonts w:hint="eastAsia" w:asciiTheme="minorHAnsi" w:eastAsiaTheme="minorEastAsia"/>
          <w:b/>
          <w:bCs/>
          <w:sz w:val="21"/>
          <w:szCs w:val="21"/>
          <w:lang w:val="en-US" w:eastAsia="zh-CN"/>
        </w:rPr>
      </w:pPr>
      <w:r>
        <w:rPr>
          <w:rFonts w:hint="eastAsia" w:asciiTheme="minorHAnsi" w:eastAsiaTheme="minorEastAsia"/>
          <w:b/>
          <w:bCs/>
          <w:sz w:val="21"/>
          <w:szCs w:val="21"/>
          <w:lang w:val="en-US" w:eastAsia="zh-CN"/>
        </w:rPr>
        <w:t>关于律师代理协议的签订</w:t>
      </w:r>
    </w:p>
    <w:p w14:paraId="738F4AE1">
      <w:pPr>
        <w:pStyle w:val="30"/>
        <w:ind w:left="0" w:leftChars="0" w:firstLine="420" w:firstLineChars="200"/>
        <w:rPr>
          <w:rFonts w:hint="eastAsia"/>
          <w:sz w:val="21"/>
          <w:szCs w:val="21"/>
          <w:lang w:val="en-US" w:eastAsia="zh-CN"/>
        </w:rPr>
      </w:pPr>
      <w:r>
        <w:rPr>
          <w:rFonts w:hint="eastAsia"/>
          <w:sz w:val="21"/>
          <w:szCs w:val="21"/>
          <w:lang w:val="en-US" w:eastAsia="zh-CN"/>
        </w:rPr>
        <w:t>诉讼案件委托事项以参保医疗机构、律师、保险公司签订三方委托协议为原则，医疗机构要求与律师签订双方委托协议的，若无特殊情况，尊重医院意愿。具体操作如下 ：</w:t>
      </w:r>
    </w:p>
    <w:p w14:paraId="7FC16434">
      <w:pPr>
        <w:pStyle w:val="30"/>
        <w:ind w:left="0" w:leftChars="0" w:firstLine="420" w:firstLineChars="200"/>
        <w:rPr>
          <w:rFonts w:hint="eastAsia"/>
          <w:sz w:val="21"/>
          <w:szCs w:val="21"/>
          <w:lang w:val="en-US" w:eastAsia="zh-CN"/>
        </w:rPr>
      </w:pPr>
      <w:r>
        <w:rPr>
          <w:rFonts w:hint="eastAsia"/>
          <w:sz w:val="21"/>
          <w:szCs w:val="21"/>
          <w:lang w:val="en-US" w:eastAsia="zh-CN"/>
        </w:rPr>
        <w:t>1.参保医疗机构、律师和保险公司签订三方委托协议的，则待三方确认协议文本无误，并经医疗机构、律师签字、盖章确认后寄送保险公司最终盖章确认，保险公司盖章后应回寄医院、律师协议文本各一份（亦可先由保险公司盖章确认后再寄送医疗机构、律师确认，并由医疗机构或律师之中最后签署协议的一方负责回寄保险公司）。</w:t>
      </w:r>
    </w:p>
    <w:p w14:paraId="6238263C">
      <w:pPr>
        <w:pStyle w:val="30"/>
        <w:ind w:left="0" w:leftChars="0" w:firstLine="420" w:firstLineChars="200"/>
        <w:rPr>
          <w:rFonts w:hint="eastAsia"/>
          <w:sz w:val="21"/>
          <w:szCs w:val="21"/>
          <w:lang w:val="en-US" w:eastAsia="zh-CN"/>
        </w:rPr>
      </w:pPr>
      <w:r>
        <w:rPr>
          <w:rFonts w:hint="eastAsia"/>
          <w:sz w:val="21"/>
          <w:szCs w:val="21"/>
          <w:lang w:val="en-US" w:eastAsia="zh-CN"/>
        </w:rPr>
        <w:t>2.参保医疗机构和律师签订双方委托协议的，应在协议签订后提供协议文本的扫描件给保险经纪公司法务部及保险公司备案。</w:t>
      </w:r>
    </w:p>
    <w:p w14:paraId="5A86376B">
      <w:pPr>
        <w:pStyle w:val="7"/>
        <w:rPr>
          <w:rFonts w:hint="eastAsia"/>
          <w:sz w:val="21"/>
          <w:szCs w:val="21"/>
          <w:lang w:val="en-US" w:eastAsia="zh-CN"/>
        </w:rPr>
      </w:pPr>
    </w:p>
    <w:p w14:paraId="136D74B2">
      <w:pPr>
        <w:pStyle w:val="7"/>
        <w:numPr>
          <w:ilvl w:val="0"/>
          <w:numId w:val="10"/>
        </w:numPr>
        <w:ind w:left="0" w:leftChars="0" w:firstLine="422" w:firstLineChars="200"/>
        <w:rPr>
          <w:rFonts w:hint="eastAsia" w:asciiTheme="minorHAnsi" w:eastAsiaTheme="minorEastAsia"/>
          <w:b/>
          <w:bCs/>
          <w:sz w:val="21"/>
          <w:szCs w:val="21"/>
          <w:lang w:val="en-US" w:eastAsia="zh-CN"/>
        </w:rPr>
      </w:pPr>
      <w:r>
        <w:rPr>
          <w:rFonts w:hint="eastAsia" w:asciiTheme="minorHAnsi" w:eastAsiaTheme="minorEastAsia"/>
          <w:b/>
          <w:bCs/>
          <w:sz w:val="21"/>
          <w:szCs w:val="21"/>
          <w:lang w:val="en-US" w:eastAsia="zh-CN"/>
        </w:rPr>
        <w:t>律师费的计算与支付</w:t>
      </w:r>
    </w:p>
    <w:p w14:paraId="65B6CF1B">
      <w:pPr>
        <w:pStyle w:val="30"/>
        <w:ind w:left="0" w:leftChars="0" w:firstLine="420" w:firstLineChars="200"/>
        <w:rPr>
          <w:rFonts w:hint="eastAsia"/>
          <w:sz w:val="21"/>
          <w:szCs w:val="21"/>
          <w:lang w:val="en-US" w:eastAsia="zh-CN"/>
        </w:rPr>
      </w:pPr>
      <w:r>
        <w:rPr>
          <w:rFonts w:hint="eastAsia"/>
          <w:sz w:val="21"/>
          <w:szCs w:val="21"/>
          <w:lang w:val="en-US" w:eastAsia="zh-CN"/>
        </w:rPr>
        <w:t>1.律师费的计算</w:t>
      </w:r>
    </w:p>
    <w:p w14:paraId="16E6B28B">
      <w:pPr>
        <w:pStyle w:val="30"/>
        <w:ind w:left="0" w:leftChars="0" w:firstLine="420" w:firstLineChars="200"/>
        <w:rPr>
          <w:rFonts w:hint="eastAsia"/>
          <w:sz w:val="21"/>
          <w:szCs w:val="21"/>
          <w:lang w:val="en-US" w:eastAsia="zh-CN"/>
        </w:rPr>
      </w:pPr>
      <w:r>
        <w:rPr>
          <w:rFonts w:hint="eastAsia"/>
          <w:sz w:val="21"/>
          <w:szCs w:val="21"/>
          <w:lang w:val="en-US" w:eastAsia="zh-CN"/>
        </w:rPr>
        <w:t>律师费按照广东省律师服务政府指导价《广东省物价局、司法厅律师服务收费管理实施办法》的通知 （粤价〔2006〕298号）中涉及财产的民事、行政诉讼收费标准计算。特殊情况律师费的计算：</w:t>
      </w:r>
    </w:p>
    <w:p w14:paraId="61A691B3">
      <w:pPr>
        <w:pStyle w:val="30"/>
        <w:ind w:left="0" w:leftChars="0" w:firstLine="420" w:firstLineChars="200"/>
        <w:rPr>
          <w:rFonts w:hint="eastAsia"/>
          <w:sz w:val="21"/>
          <w:szCs w:val="21"/>
          <w:lang w:val="en-US" w:eastAsia="zh-CN"/>
        </w:rPr>
      </w:pPr>
      <w:r>
        <w:rPr>
          <w:rFonts w:hint="eastAsia"/>
          <w:sz w:val="21"/>
          <w:szCs w:val="21"/>
          <w:lang w:val="en-US" w:eastAsia="zh-CN"/>
        </w:rPr>
        <w:t>（1）原告起诉参保医疗机构的诉求中，除投诉医疗机构的诊疗行为存在不足外，还附带投诉医疗机构其他方面的问题，如：行政管理、服务态度、收费不合理等的，此类案件亦属医责险范围内，律师需针对医院诊疗行为及原告附带投诉部分整体作答辩工作，律师费应按照整个赔案计算，不以所谓“保险责任范围内的比例”为区分。</w:t>
      </w:r>
    </w:p>
    <w:p w14:paraId="05C01E06">
      <w:pPr>
        <w:pStyle w:val="30"/>
        <w:ind w:left="0" w:leftChars="0" w:firstLine="420" w:firstLineChars="200"/>
        <w:rPr>
          <w:rFonts w:hint="eastAsia"/>
          <w:sz w:val="21"/>
          <w:szCs w:val="21"/>
          <w:lang w:val="en-US" w:eastAsia="zh-CN"/>
        </w:rPr>
      </w:pPr>
      <w:r>
        <w:rPr>
          <w:rFonts w:hint="eastAsia"/>
          <w:sz w:val="21"/>
          <w:szCs w:val="21"/>
          <w:lang w:val="en-US" w:eastAsia="zh-CN"/>
        </w:rPr>
        <w:t>（2）原告因同一患者的损害事由起诉两家及以上医疗机构，其中一家为参保医疗机构，其余为非保医疗机构的，律师费按照整个赔案计算。</w:t>
      </w:r>
    </w:p>
    <w:p w14:paraId="0DDFFA55">
      <w:pPr>
        <w:pStyle w:val="30"/>
        <w:ind w:left="0" w:leftChars="0" w:firstLine="420" w:firstLineChars="200"/>
        <w:rPr>
          <w:rFonts w:hint="eastAsia"/>
          <w:sz w:val="21"/>
          <w:szCs w:val="21"/>
          <w:lang w:val="en-US" w:eastAsia="zh-CN"/>
        </w:rPr>
      </w:pPr>
      <w:r>
        <w:rPr>
          <w:rFonts w:hint="eastAsia"/>
          <w:sz w:val="21"/>
          <w:szCs w:val="21"/>
          <w:lang w:val="en-US" w:eastAsia="zh-CN"/>
        </w:rPr>
        <w:t>（3）原告因同一患者的损害事由起诉两家或以上参保医疗机构的，因诉讼案件之于每家医疗机构在其保单内均为独立赔案，故每家医疗机构就该诉案的律师费应作为独立赔案分别计算整个案件的律师费。具体操作如下 ：</w:t>
      </w:r>
    </w:p>
    <w:p w14:paraId="298E14BB">
      <w:pPr>
        <w:pStyle w:val="30"/>
        <w:ind w:left="0" w:leftChars="0" w:firstLine="420" w:firstLineChars="200"/>
        <w:rPr>
          <w:rFonts w:hint="eastAsia"/>
          <w:sz w:val="21"/>
          <w:szCs w:val="21"/>
          <w:lang w:val="en-US" w:eastAsia="zh-CN"/>
        </w:rPr>
      </w:pPr>
      <w:r>
        <w:rPr>
          <w:rFonts w:hint="eastAsia"/>
          <w:sz w:val="21"/>
          <w:szCs w:val="21"/>
          <w:lang w:val="en-US" w:eastAsia="zh-CN"/>
        </w:rPr>
        <w:t>①每家被诉参保医疗机构均已各自委托法律顾问或指定律师代理的，每家医疗机构的律师费独立计算；</w:t>
      </w:r>
    </w:p>
    <w:p w14:paraId="0132139E">
      <w:pPr>
        <w:pStyle w:val="30"/>
        <w:ind w:left="0" w:leftChars="0" w:firstLine="420" w:firstLineChars="200"/>
        <w:rPr>
          <w:rFonts w:hint="eastAsia"/>
          <w:sz w:val="21"/>
          <w:szCs w:val="21"/>
          <w:lang w:val="en-US" w:eastAsia="zh-CN"/>
        </w:rPr>
      </w:pPr>
      <w:r>
        <w:rPr>
          <w:rFonts w:hint="eastAsia"/>
          <w:sz w:val="21"/>
          <w:szCs w:val="21"/>
          <w:lang w:val="en-US" w:eastAsia="zh-CN"/>
        </w:rPr>
        <w:t>②参保医疗机构需要保险经纪公司法务部协助推荐律师的，保险经纪公司法务部应首先咨询各被诉医疗机构是否同意共同委托一位律师代理应诉，如各医疗机构均同意，则由保险经纪公司法务部推荐合适的律师代理案件，律师费按一个赔案上浮20%计算；如各被诉医疗机构不能同意或就律师人选不能达成一致的，保险经纪公司法务部另行分别为各被诉医疗机构推荐代理律师，每家被诉医疗机构的律师费按照广东省律师服务政府指导价《广东省物价局、司法厅律师服务收费管理实施办法》的通知 （粤价〔2006〕298号）中涉及财产的民事、行政诉讼收费标准计算。</w:t>
      </w:r>
    </w:p>
    <w:p w14:paraId="53671ABA">
      <w:pPr>
        <w:pStyle w:val="30"/>
        <w:ind w:left="0" w:leftChars="0" w:firstLine="420" w:firstLineChars="200"/>
        <w:rPr>
          <w:rFonts w:hint="eastAsia"/>
          <w:sz w:val="21"/>
          <w:szCs w:val="21"/>
          <w:lang w:val="en-US" w:eastAsia="zh-CN"/>
        </w:rPr>
      </w:pPr>
      <w:r>
        <w:rPr>
          <w:rFonts w:hint="eastAsia"/>
          <w:sz w:val="21"/>
          <w:szCs w:val="21"/>
          <w:lang w:val="en-US" w:eastAsia="zh-CN"/>
        </w:rPr>
        <w:t>2.律师费的支付</w:t>
      </w:r>
    </w:p>
    <w:p w14:paraId="39C7AD50">
      <w:pPr>
        <w:pStyle w:val="30"/>
        <w:ind w:left="0" w:leftChars="0" w:firstLine="420" w:firstLineChars="200"/>
        <w:rPr>
          <w:rFonts w:hint="eastAsia"/>
          <w:sz w:val="21"/>
          <w:szCs w:val="21"/>
          <w:lang w:val="en-US" w:eastAsia="zh-CN"/>
        </w:rPr>
      </w:pPr>
      <w:r>
        <w:rPr>
          <w:rFonts w:hint="eastAsia"/>
          <w:sz w:val="21"/>
          <w:szCs w:val="21"/>
          <w:lang w:val="en-US" w:eastAsia="zh-CN"/>
        </w:rPr>
        <w:t>鉴于医疗损害诉讼案件本身的特点 ，律师费支付原则上采用预支付形式。具体操作如下 ：</w:t>
      </w:r>
    </w:p>
    <w:p w14:paraId="74FB5177">
      <w:pPr>
        <w:pStyle w:val="30"/>
        <w:ind w:left="0" w:leftChars="0" w:firstLine="420" w:firstLineChars="200"/>
        <w:rPr>
          <w:rFonts w:hint="eastAsia"/>
          <w:sz w:val="21"/>
          <w:szCs w:val="21"/>
          <w:lang w:val="en-US" w:eastAsia="zh-CN"/>
        </w:rPr>
      </w:pPr>
      <w:r>
        <w:rPr>
          <w:rFonts w:hint="eastAsia"/>
          <w:sz w:val="21"/>
          <w:szCs w:val="21"/>
          <w:lang w:val="en-US" w:eastAsia="zh-CN"/>
        </w:rPr>
        <w:t>（1）参保医疗机构自行委托法律顾问或指定律师代理案件，并与律师签订双方委托协议的，由医疗机构先行支付律师费，待案件结案后连同案件其他赔偿项目一并向保险公司索赔。具体支付方式以医院与律师的约定为准。</w:t>
      </w:r>
    </w:p>
    <w:p w14:paraId="73B3DE29">
      <w:pPr>
        <w:pStyle w:val="30"/>
        <w:ind w:left="0" w:leftChars="0" w:firstLine="420" w:firstLineChars="200"/>
        <w:rPr>
          <w:rFonts w:hint="eastAsia"/>
          <w:sz w:val="21"/>
          <w:szCs w:val="21"/>
          <w:lang w:val="en-US" w:eastAsia="zh-CN"/>
        </w:rPr>
      </w:pPr>
      <w:r>
        <w:rPr>
          <w:rFonts w:hint="eastAsia"/>
          <w:sz w:val="21"/>
          <w:szCs w:val="21"/>
          <w:lang w:val="en-US" w:eastAsia="zh-CN"/>
        </w:rPr>
        <w:t>（2）参保医疗机构自行委托、指定，或经由保险经纪公司法务部推荐律师代理案件，并采取与保险公司、律师签订三方委托协议形式的，由保险公司直接支付律师费给律师。律师费支付分两部分进行，一期费用在三方签订协议后、开庭前由保险公司先行支付一半，余款（二期费用）在一审判决后支付完毕；若有二审的，律师费在二审开庭前由保险公司进行支付。</w:t>
      </w:r>
    </w:p>
    <w:p w14:paraId="26DE4307">
      <w:pPr>
        <w:pStyle w:val="30"/>
        <w:ind w:left="0" w:leftChars="0" w:firstLine="420" w:firstLineChars="200"/>
        <w:rPr>
          <w:rFonts w:hint="eastAsia"/>
          <w:sz w:val="21"/>
          <w:szCs w:val="21"/>
          <w:lang w:val="en-US" w:eastAsia="zh-CN"/>
        </w:rPr>
      </w:pPr>
      <w:r>
        <w:rPr>
          <w:rFonts w:hint="eastAsia"/>
          <w:sz w:val="21"/>
          <w:szCs w:val="21"/>
          <w:lang w:val="en-US" w:eastAsia="zh-CN"/>
        </w:rPr>
        <w:t>（3）参保医疗机构人员及律师在诉讼过程中产生的合理的、必要的差旅费用（交通费、住宿费、伙食费等）不计入案件律师费，凭票实报实销。差旅费标准参照</w:t>
      </w:r>
      <w:r>
        <w:rPr>
          <w:rFonts w:hint="eastAsia"/>
          <w:sz w:val="21"/>
          <w:szCs w:val="21"/>
          <w:highlight w:val="none"/>
          <w:lang w:val="en-US" w:eastAsia="zh-CN"/>
        </w:rPr>
        <w:t>《财政部关于调整中央和国家机关差旅住宿费标准等有关问题的通知》财行〔2015〕497号一般公务员标准执行，差旅费伙食费按照100元/人/天的标准进行补助，如有最新标准，按最新标准执行。</w:t>
      </w:r>
    </w:p>
    <w:p w14:paraId="6D610999">
      <w:pPr>
        <w:pStyle w:val="30"/>
        <w:ind w:left="0" w:leftChars="0" w:firstLine="420" w:firstLineChars="200"/>
        <w:rPr>
          <w:rFonts w:hint="eastAsia"/>
          <w:sz w:val="21"/>
          <w:szCs w:val="21"/>
          <w:lang w:val="en-US" w:eastAsia="zh-CN"/>
        </w:rPr>
      </w:pPr>
      <w:r>
        <w:rPr>
          <w:rFonts w:hint="eastAsia"/>
          <w:sz w:val="21"/>
          <w:szCs w:val="21"/>
          <w:lang w:val="en-US" w:eastAsia="zh-CN"/>
        </w:rPr>
        <w:t>3.另有约定的处理</w:t>
      </w:r>
    </w:p>
    <w:p w14:paraId="09E28381">
      <w:pPr>
        <w:pStyle w:val="30"/>
        <w:ind w:left="0" w:leftChars="0" w:firstLine="420" w:firstLineChars="200"/>
        <w:rPr>
          <w:rFonts w:hint="eastAsia"/>
          <w:sz w:val="21"/>
          <w:szCs w:val="21"/>
          <w:lang w:val="en-US" w:eastAsia="zh-CN"/>
        </w:rPr>
      </w:pPr>
      <w:r>
        <w:rPr>
          <w:rFonts w:hint="eastAsia"/>
          <w:sz w:val="21"/>
          <w:szCs w:val="21"/>
          <w:lang w:val="en-US" w:eastAsia="zh-CN"/>
        </w:rPr>
        <w:t>（1）若律师与医疗机构之间事前就个案律师费计算事项和支付方式另有更优惠约定的，保险公司按照该约定支付律师费。</w:t>
      </w:r>
    </w:p>
    <w:p w14:paraId="6ED71EEA">
      <w:pPr>
        <w:pStyle w:val="30"/>
        <w:ind w:left="0" w:leftChars="0" w:firstLine="420" w:firstLineChars="200"/>
        <w:rPr>
          <w:rFonts w:hint="eastAsia" w:ascii="宋体" w:hAnsi="宋体"/>
          <w:b w:val="0"/>
          <w:bCs/>
          <w:color w:val="auto"/>
          <w:sz w:val="21"/>
          <w:szCs w:val="21"/>
          <w:highlight w:val="none"/>
          <w:lang w:val="en-US" w:eastAsia="zh-CN"/>
        </w:rPr>
      </w:pPr>
      <w:r>
        <w:rPr>
          <w:rFonts w:hint="eastAsia"/>
          <w:sz w:val="21"/>
          <w:szCs w:val="21"/>
          <w:lang w:val="en-US" w:eastAsia="zh-CN"/>
        </w:rPr>
        <w:t>（2）若保险公司与其推荐的合作律师事前就个案律师费计算事项和支付方式另有约定的，由保险公司按照该约定与律师另行结算并支付律师费。</w:t>
      </w:r>
    </w:p>
    <w:p w14:paraId="61803BCB">
      <w:pPr>
        <w:numPr>
          <w:ilvl w:val="0"/>
          <w:numId w:val="0"/>
        </w:numPr>
        <w:spacing w:beforeLines="50" w:line="360" w:lineRule="auto"/>
        <w:ind w:firstLine="420" w:firstLineChars="20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4.保险经纪公司视案件的实际情况和复杂程度，启动案件诉讼案件风险评估程序，在案件审理过程中司法鉴定程序启动前邀请专家对案件焦点、应诉要点进行分析；</w:t>
      </w:r>
    </w:p>
    <w:p w14:paraId="58803C5C">
      <w:pPr>
        <w:numPr>
          <w:ilvl w:val="0"/>
          <w:numId w:val="0"/>
        </w:numPr>
        <w:spacing w:beforeLines="50" w:line="360" w:lineRule="auto"/>
        <w:ind w:firstLine="420" w:firstLineChars="20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 xml:space="preserve"> 5.案件审理终结后，案件代理律师或医疗机构应及时将法院裁决/调解/判决文书发至保险经纪公司，保险经纪公司收到裁决/调解/判决文书后应及时报保险公司。保险经纪公司及保险公司可就案件是否上诉/再审等问题提出建议供医院参考，医疗机构有权最终决定是否申请上诉/再审。</w:t>
      </w:r>
    </w:p>
    <w:p w14:paraId="594F38BE">
      <w:pPr>
        <w:numPr>
          <w:ilvl w:val="0"/>
          <w:numId w:val="0"/>
        </w:numPr>
        <w:spacing w:beforeLines="50" w:line="360" w:lineRule="auto"/>
        <w:ind w:firstLine="420" w:firstLineChars="200"/>
        <w:rPr>
          <w:rFonts w:hint="eastAsia" w:ascii="宋体" w:hAnsi="宋体"/>
          <w:b w:val="0"/>
          <w:bCs/>
          <w:color w:val="auto"/>
          <w:sz w:val="21"/>
          <w:szCs w:val="21"/>
          <w:lang w:val="en-US" w:eastAsia="zh-CN"/>
        </w:rPr>
      </w:pPr>
      <w:r>
        <w:rPr>
          <w:rFonts w:hint="eastAsia" w:ascii="宋体" w:hAnsi="宋体"/>
          <w:b w:val="0"/>
          <w:bCs/>
          <w:color w:val="auto"/>
          <w:sz w:val="21"/>
          <w:szCs w:val="21"/>
          <w:highlight w:val="none"/>
          <w:lang w:val="en-US" w:eastAsia="zh-CN"/>
        </w:rPr>
        <w:t xml:space="preserve"> 6.保险经纪公司跟进案件处理进度，对于在法官或仲裁员主持下达成调解或医患自行和解的案件，督促保险公司在正式调解/和解前确认调解/和解方案。</w:t>
      </w:r>
    </w:p>
    <w:p w14:paraId="595BC98C">
      <w:pPr>
        <w:spacing w:beforeLines="90" w:afterLines="90"/>
        <w:rPr>
          <w:rFonts w:ascii="宋体" w:hAnsi="宋体"/>
          <w:b/>
          <w:sz w:val="21"/>
          <w:szCs w:val="21"/>
        </w:rPr>
      </w:pPr>
      <w:r>
        <w:rPr>
          <w:rFonts w:hint="eastAsia" w:ascii="宋体" w:hAnsi="宋体"/>
          <w:b/>
          <w:sz w:val="21"/>
          <w:szCs w:val="21"/>
          <w:lang w:eastAsia="zh-CN"/>
        </w:rPr>
        <w:t>六</w:t>
      </w:r>
      <w:r>
        <w:rPr>
          <w:rFonts w:hint="eastAsia" w:ascii="宋体" w:hAnsi="宋体"/>
          <w:b/>
          <w:sz w:val="21"/>
          <w:szCs w:val="21"/>
        </w:rPr>
        <w:t>、保险索赔、理赔程序</w:t>
      </w:r>
    </w:p>
    <w:p w14:paraId="615D37FE">
      <w:pPr>
        <w:spacing w:beforeLines="50" w:line="360" w:lineRule="auto"/>
        <w:ind w:firstLine="422" w:firstLineChars="200"/>
        <w:rPr>
          <w:rFonts w:ascii="宋体" w:hAnsi="宋体"/>
          <w:b/>
          <w:bCs/>
          <w:sz w:val="21"/>
          <w:szCs w:val="21"/>
        </w:rPr>
      </w:pPr>
      <w:r>
        <w:rPr>
          <w:rFonts w:hint="eastAsia" w:ascii="宋体" w:hAnsi="宋体"/>
          <w:b/>
          <w:bCs/>
          <w:sz w:val="21"/>
          <w:szCs w:val="21"/>
          <w:lang w:eastAsia="zh-CN"/>
        </w:rPr>
        <w:t>1.</w:t>
      </w:r>
      <w:r>
        <w:rPr>
          <w:rFonts w:hint="eastAsia" w:ascii="宋体" w:hAnsi="宋体"/>
          <w:b/>
          <w:bCs/>
          <w:sz w:val="21"/>
          <w:szCs w:val="21"/>
        </w:rPr>
        <w:t>调解结案案件索赔、理赔程序</w:t>
      </w:r>
    </w:p>
    <w:p w14:paraId="5C739323">
      <w:pPr>
        <w:spacing w:beforeLines="50" w:line="360" w:lineRule="auto"/>
        <w:ind w:firstLine="420" w:firstLineChars="200"/>
        <w:rPr>
          <w:rFonts w:ascii="宋体" w:hAnsi="宋体"/>
          <w:bCs/>
          <w:sz w:val="21"/>
          <w:szCs w:val="21"/>
        </w:rPr>
      </w:pPr>
      <w:r>
        <w:rPr>
          <w:rFonts w:hint="eastAsia" w:ascii="宋体" w:hAnsi="宋体"/>
          <w:bCs/>
          <w:sz w:val="21"/>
          <w:szCs w:val="21"/>
        </w:rPr>
        <w:t>调解成功的案件，由“医调委”将医疗机构递交的资料代转</w:t>
      </w:r>
      <w:r>
        <w:rPr>
          <w:rFonts w:hint="eastAsia" w:ascii="宋体" w:hAnsi="宋体"/>
          <w:bCs/>
          <w:sz w:val="21"/>
          <w:szCs w:val="21"/>
          <w:lang w:eastAsia="zh-CN"/>
        </w:rPr>
        <w:t>保险</w:t>
      </w:r>
      <w:r>
        <w:rPr>
          <w:rFonts w:hint="eastAsia" w:ascii="宋体" w:hAnsi="宋体"/>
          <w:bCs/>
          <w:sz w:val="21"/>
          <w:szCs w:val="21"/>
        </w:rPr>
        <w:t>经纪公司</w:t>
      </w:r>
      <w:r>
        <w:rPr>
          <w:rFonts w:hint="eastAsia" w:ascii="宋体" w:hAnsi="宋体"/>
          <w:bCs/>
          <w:sz w:val="21"/>
          <w:szCs w:val="21"/>
          <w:lang w:eastAsia="zh-CN"/>
        </w:rPr>
        <w:t>，</w:t>
      </w:r>
      <w:r>
        <w:rPr>
          <w:rFonts w:hint="eastAsia" w:ascii="宋体" w:hAnsi="宋体"/>
          <w:bCs/>
          <w:sz w:val="21"/>
          <w:szCs w:val="21"/>
        </w:rPr>
        <w:t>由</w:t>
      </w:r>
      <w:r>
        <w:rPr>
          <w:rFonts w:hint="eastAsia" w:ascii="宋体" w:hAnsi="宋体"/>
          <w:bCs/>
          <w:sz w:val="21"/>
          <w:szCs w:val="21"/>
          <w:lang w:eastAsia="zh-CN"/>
        </w:rPr>
        <w:t>保险</w:t>
      </w:r>
      <w:r>
        <w:rPr>
          <w:rFonts w:hint="eastAsia" w:ascii="宋体" w:hAnsi="宋体"/>
          <w:bCs/>
          <w:sz w:val="21"/>
          <w:szCs w:val="21"/>
        </w:rPr>
        <w:t>经纪公司协助医疗机构进行索赔</w:t>
      </w:r>
      <w:r>
        <w:rPr>
          <w:rFonts w:hint="eastAsia" w:ascii="宋体" w:hAnsi="宋体"/>
          <w:bCs/>
          <w:sz w:val="21"/>
          <w:szCs w:val="21"/>
          <w:lang w:eastAsia="zh-CN"/>
        </w:rPr>
        <w:t>，</w:t>
      </w:r>
      <w:r>
        <w:rPr>
          <w:rFonts w:hint="eastAsia" w:ascii="宋体" w:hAnsi="宋体"/>
          <w:bCs/>
          <w:sz w:val="21"/>
          <w:szCs w:val="21"/>
        </w:rPr>
        <w:t>保险公司根据保险合同将协议赔偿款项直接支付给患方或医疗机构。</w:t>
      </w:r>
    </w:p>
    <w:p w14:paraId="2364E3AC">
      <w:pPr>
        <w:spacing w:beforeLines="50" w:line="360" w:lineRule="auto"/>
        <w:ind w:firstLine="422" w:firstLineChars="200"/>
        <w:rPr>
          <w:rFonts w:ascii="宋体" w:hAnsi="宋体"/>
          <w:b/>
          <w:bCs/>
          <w:color w:val="auto"/>
          <w:sz w:val="21"/>
          <w:szCs w:val="21"/>
        </w:rPr>
      </w:pPr>
      <w:r>
        <w:rPr>
          <w:rFonts w:hint="eastAsia" w:ascii="宋体" w:hAnsi="宋体"/>
          <w:b/>
          <w:bCs/>
          <w:color w:val="auto"/>
          <w:sz w:val="21"/>
          <w:szCs w:val="21"/>
          <w:lang w:eastAsia="zh-CN"/>
        </w:rPr>
        <w:t>2.自主处理</w:t>
      </w:r>
      <w:r>
        <w:rPr>
          <w:rFonts w:hint="eastAsia" w:ascii="宋体" w:hAnsi="宋体"/>
          <w:b/>
          <w:bCs/>
          <w:color w:val="auto"/>
          <w:sz w:val="21"/>
          <w:szCs w:val="21"/>
        </w:rPr>
        <w:t>结案案件索赔、理赔程序</w:t>
      </w:r>
    </w:p>
    <w:p w14:paraId="07B93E6B">
      <w:pPr>
        <w:spacing w:beforeLines="50" w:line="360" w:lineRule="auto"/>
        <w:ind w:firstLine="420" w:firstLineChars="200"/>
        <w:rPr>
          <w:rFonts w:hint="eastAsia" w:ascii="宋体" w:hAnsi="宋体" w:eastAsia="宋体"/>
          <w:bCs/>
          <w:color w:val="auto"/>
          <w:sz w:val="21"/>
          <w:szCs w:val="21"/>
          <w:highlight w:val="none"/>
          <w:lang w:eastAsia="zh-CN"/>
        </w:rPr>
      </w:pPr>
      <w:r>
        <w:rPr>
          <w:rFonts w:hint="eastAsia" w:ascii="宋体" w:hAnsi="宋体"/>
          <w:bCs/>
          <w:color w:val="auto"/>
          <w:sz w:val="21"/>
          <w:szCs w:val="21"/>
        </w:rPr>
        <w:t>医疗机构根据本</w:t>
      </w:r>
      <w:r>
        <w:rPr>
          <w:rFonts w:hint="eastAsia" w:ascii="宋体" w:hAnsi="宋体"/>
          <w:bCs/>
          <w:color w:val="auto"/>
          <w:sz w:val="21"/>
          <w:szCs w:val="21"/>
          <w:highlight w:val="none"/>
        </w:rPr>
        <w:t>合同特别约定，使用</w:t>
      </w:r>
      <w:r>
        <w:rPr>
          <w:rFonts w:hint="eastAsia" w:ascii="宋体" w:hAnsi="宋体"/>
          <w:bCs/>
          <w:color w:val="auto"/>
          <w:sz w:val="21"/>
          <w:szCs w:val="21"/>
          <w:highlight w:val="none"/>
          <w:lang w:eastAsia="zh-CN"/>
        </w:rPr>
        <w:t>自主处理</w:t>
      </w:r>
      <w:r>
        <w:rPr>
          <w:rFonts w:hint="eastAsia" w:ascii="宋体" w:hAnsi="宋体"/>
          <w:bCs/>
          <w:color w:val="auto"/>
          <w:sz w:val="21"/>
          <w:szCs w:val="21"/>
          <w:highlight w:val="none"/>
        </w:rPr>
        <w:t>权限，与患方进行协商并达成一致的医疗纠纷案件，统一将索赔资料递交“医调委”，由“医调委”转交</w:t>
      </w:r>
      <w:r>
        <w:rPr>
          <w:rFonts w:hint="eastAsia" w:ascii="宋体" w:hAnsi="宋体"/>
          <w:bCs/>
          <w:color w:val="auto"/>
          <w:sz w:val="21"/>
          <w:szCs w:val="21"/>
          <w:highlight w:val="none"/>
          <w:lang w:eastAsia="zh-CN"/>
        </w:rPr>
        <w:t>保险</w:t>
      </w:r>
      <w:r>
        <w:rPr>
          <w:rFonts w:hint="eastAsia" w:ascii="宋体" w:hAnsi="宋体"/>
          <w:bCs/>
          <w:color w:val="auto"/>
          <w:sz w:val="21"/>
          <w:szCs w:val="21"/>
          <w:highlight w:val="none"/>
        </w:rPr>
        <w:t>经纪公司</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由</w:t>
      </w:r>
      <w:r>
        <w:rPr>
          <w:rFonts w:hint="eastAsia" w:ascii="宋体" w:hAnsi="宋体"/>
          <w:bCs/>
          <w:color w:val="auto"/>
          <w:sz w:val="21"/>
          <w:szCs w:val="21"/>
          <w:highlight w:val="none"/>
          <w:lang w:eastAsia="zh-CN"/>
        </w:rPr>
        <w:t>保险</w:t>
      </w:r>
      <w:r>
        <w:rPr>
          <w:rFonts w:hint="eastAsia" w:ascii="宋体" w:hAnsi="宋体"/>
          <w:bCs/>
          <w:color w:val="auto"/>
          <w:sz w:val="21"/>
          <w:szCs w:val="21"/>
          <w:highlight w:val="none"/>
        </w:rPr>
        <w:t>经纪公司协助医疗机构进行索赔</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 xml:space="preserve"> 保险公司根据保险合同</w:t>
      </w:r>
      <w:r>
        <w:rPr>
          <w:rFonts w:hint="eastAsia" w:ascii="宋体" w:hAnsi="宋体"/>
          <w:bCs/>
          <w:sz w:val="21"/>
          <w:szCs w:val="21"/>
          <w:highlight w:val="none"/>
        </w:rPr>
        <w:t>将协议赔偿款项直接支付给患方或医疗机构</w:t>
      </w:r>
      <w:r>
        <w:rPr>
          <w:rFonts w:hint="eastAsia" w:ascii="宋体" w:hAnsi="宋体"/>
          <w:bCs/>
          <w:color w:val="auto"/>
          <w:sz w:val="21"/>
          <w:szCs w:val="21"/>
          <w:highlight w:val="none"/>
        </w:rPr>
        <w:t>。</w:t>
      </w:r>
    </w:p>
    <w:p w14:paraId="0F8643BD">
      <w:pPr>
        <w:spacing w:beforeLines="50" w:line="360" w:lineRule="auto"/>
        <w:ind w:firstLine="422" w:firstLineChars="200"/>
        <w:rPr>
          <w:rFonts w:ascii="宋体" w:hAnsi="宋体"/>
          <w:bCs/>
          <w:color w:val="auto"/>
          <w:sz w:val="21"/>
          <w:szCs w:val="21"/>
        </w:rPr>
      </w:pPr>
      <w:r>
        <w:rPr>
          <w:rFonts w:hint="eastAsia" w:ascii="宋体" w:hAnsi="宋体"/>
          <w:b/>
          <w:bCs/>
          <w:color w:val="auto"/>
          <w:sz w:val="21"/>
          <w:szCs w:val="21"/>
          <w:lang w:eastAsia="zh-CN"/>
        </w:rPr>
        <w:t>3.</w:t>
      </w:r>
      <w:r>
        <w:rPr>
          <w:rFonts w:hint="eastAsia" w:ascii="宋体" w:hAnsi="宋体"/>
          <w:b/>
          <w:bCs/>
          <w:color w:val="auto"/>
          <w:sz w:val="21"/>
          <w:szCs w:val="21"/>
        </w:rPr>
        <w:t>仲裁、</w:t>
      </w:r>
      <w:r>
        <w:rPr>
          <w:rFonts w:hint="eastAsia" w:ascii="宋体" w:hAnsi="宋体"/>
          <w:b/>
          <w:bCs/>
          <w:color w:val="auto"/>
          <w:sz w:val="21"/>
          <w:szCs w:val="21"/>
          <w:lang w:eastAsia="zh-CN"/>
        </w:rPr>
        <w:t>诉讼等</w:t>
      </w:r>
      <w:r>
        <w:rPr>
          <w:rFonts w:hint="eastAsia" w:ascii="宋体" w:hAnsi="宋体"/>
          <w:b/>
          <w:bCs/>
          <w:color w:val="auto"/>
          <w:sz w:val="21"/>
          <w:szCs w:val="21"/>
        </w:rPr>
        <w:t>司法途径结案案件索赔、理赔程序</w:t>
      </w:r>
    </w:p>
    <w:p w14:paraId="651CC66C">
      <w:pPr>
        <w:spacing w:beforeLines="50" w:line="360" w:lineRule="auto"/>
        <w:ind w:firstLine="420" w:firstLineChars="200"/>
        <w:rPr>
          <w:rFonts w:ascii="宋体" w:hAnsi="宋体"/>
          <w:bCs/>
          <w:color w:val="auto"/>
          <w:sz w:val="21"/>
          <w:szCs w:val="21"/>
        </w:rPr>
      </w:pPr>
      <w:r>
        <w:rPr>
          <w:rFonts w:hint="eastAsia" w:ascii="宋体" w:hAnsi="宋体"/>
          <w:bCs/>
          <w:color w:val="auto"/>
          <w:sz w:val="21"/>
          <w:szCs w:val="21"/>
        </w:rPr>
        <w:t>经仲裁裁决程序、法院判决或法院调解程序结案的案件，统一由</w:t>
      </w:r>
      <w:r>
        <w:rPr>
          <w:rFonts w:hint="eastAsia" w:ascii="宋体" w:hAnsi="宋体"/>
          <w:bCs/>
          <w:color w:val="auto"/>
          <w:sz w:val="21"/>
          <w:szCs w:val="21"/>
          <w:lang w:eastAsia="zh-CN"/>
        </w:rPr>
        <w:t>保险</w:t>
      </w:r>
      <w:r>
        <w:rPr>
          <w:rFonts w:hint="eastAsia" w:ascii="宋体" w:hAnsi="宋体"/>
          <w:bCs/>
          <w:color w:val="auto"/>
          <w:sz w:val="21"/>
          <w:szCs w:val="21"/>
        </w:rPr>
        <w:t>经纪公司协助</w:t>
      </w:r>
      <w:r>
        <w:rPr>
          <w:rFonts w:ascii="宋体" w:hAnsi="宋体"/>
          <w:bCs/>
          <w:color w:val="auto"/>
          <w:sz w:val="21"/>
          <w:szCs w:val="21"/>
        </w:rPr>
        <w:t>医疗机构进行索赔，</w:t>
      </w:r>
      <w:r>
        <w:rPr>
          <w:rFonts w:hint="eastAsia" w:ascii="宋体" w:hAnsi="宋体"/>
          <w:bCs/>
          <w:color w:val="auto"/>
          <w:sz w:val="21"/>
          <w:szCs w:val="21"/>
        </w:rPr>
        <w:t>保险公司根据保险合同</w:t>
      </w:r>
      <w:r>
        <w:rPr>
          <w:rFonts w:hint="eastAsia" w:ascii="宋体" w:hAnsi="宋体"/>
          <w:bCs/>
          <w:sz w:val="21"/>
          <w:szCs w:val="21"/>
        </w:rPr>
        <w:t>将赔偿款项直接支付给患方或医疗机构</w:t>
      </w:r>
      <w:r>
        <w:rPr>
          <w:rFonts w:hint="eastAsia" w:ascii="宋体" w:hAnsi="宋体"/>
          <w:bCs/>
          <w:color w:val="auto"/>
          <w:sz w:val="21"/>
          <w:szCs w:val="21"/>
        </w:rPr>
        <w:t>。</w:t>
      </w:r>
    </w:p>
    <w:p w14:paraId="1F55D692">
      <w:pPr>
        <w:spacing w:beforeLines="50" w:line="360" w:lineRule="auto"/>
        <w:ind w:firstLine="422" w:firstLineChars="200"/>
        <w:rPr>
          <w:rFonts w:ascii="宋体" w:hAnsi="宋体"/>
          <w:b/>
          <w:bCs/>
          <w:sz w:val="21"/>
          <w:szCs w:val="21"/>
        </w:rPr>
      </w:pPr>
      <w:r>
        <w:rPr>
          <w:rFonts w:hint="eastAsia" w:ascii="宋体" w:hAnsi="宋体"/>
          <w:b/>
          <w:bCs/>
          <w:sz w:val="21"/>
          <w:szCs w:val="21"/>
          <w:lang w:eastAsia="zh-CN"/>
        </w:rPr>
        <w:t>4.</w:t>
      </w:r>
      <w:r>
        <w:rPr>
          <w:rFonts w:ascii="宋体" w:hAnsi="宋体"/>
          <w:b/>
          <w:bCs/>
          <w:sz w:val="21"/>
          <w:szCs w:val="21"/>
        </w:rPr>
        <w:t>行政介入</w:t>
      </w:r>
      <w:r>
        <w:rPr>
          <w:rFonts w:hint="eastAsia" w:ascii="宋体" w:hAnsi="宋体"/>
          <w:b/>
          <w:bCs/>
          <w:sz w:val="21"/>
          <w:szCs w:val="21"/>
        </w:rPr>
        <w:t>处理</w:t>
      </w:r>
      <w:r>
        <w:rPr>
          <w:rFonts w:ascii="宋体" w:hAnsi="宋体"/>
          <w:b/>
          <w:bCs/>
          <w:sz w:val="21"/>
          <w:szCs w:val="21"/>
        </w:rPr>
        <w:t>结案</w:t>
      </w:r>
      <w:r>
        <w:rPr>
          <w:rFonts w:hint="eastAsia" w:ascii="宋体" w:hAnsi="宋体"/>
          <w:b/>
          <w:bCs/>
          <w:sz w:val="21"/>
          <w:szCs w:val="21"/>
        </w:rPr>
        <w:t>案件</w:t>
      </w:r>
      <w:r>
        <w:rPr>
          <w:rFonts w:ascii="宋体" w:hAnsi="宋体"/>
          <w:b/>
          <w:bCs/>
          <w:sz w:val="21"/>
          <w:szCs w:val="21"/>
        </w:rPr>
        <w:t>索赔、理赔程序</w:t>
      </w:r>
    </w:p>
    <w:p w14:paraId="4BA605B1">
      <w:pPr>
        <w:spacing w:beforeLines="50" w:line="360" w:lineRule="auto"/>
        <w:ind w:firstLine="420" w:firstLineChars="200"/>
        <w:rPr>
          <w:rFonts w:hint="eastAsia" w:ascii="宋体" w:hAnsi="宋体"/>
          <w:bCs/>
          <w:sz w:val="21"/>
          <w:szCs w:val="21"/>
        </w:rPr>
      </w:pPr>
      <w:r>
        <w:rPr>
          <w:rFonts w:hint="eastAsia" w:ascii="宋体" w:hAnsi="宋体"/>
          <w:bCs/>
          <w:sz w:val="21"/>
          <w:szCs w:val="21"/>
        </w:rPr>
        <w:t>依据行政介入处理</w:t>
      </w:r>
      <w:r>
        <w:rPr>
          <w:rFonts w:ascii="宋体" w:hAnsi="宋体"/>
          <w:bCs/>
          <w:sz w:val="21"/>
          <w:szCs w:val="21"/>
        </w:rPr>
        <w:t>意见结案</w:t>
      </w:r>
      <w:r>
        <w:rPr>
          <w:rFonts w:hint="eastAsia" w:ascii="宋体" w:hAnsi="宋体"/>
          <w:bCs/>
          <w:sz w:val="21"/>
          <w:szCs w:val="21"/>
        </w:rPr>
        <w:t>的</w:t>
      </w:r>
      <w:r>
        <w:rPr>
          <w:rFonts w:ascii="宋体" w:hAnsi="宋体"/>
          <w:bCs/>
          <w:sz w:val="21"/>
          <w:szCs w:val="21"/>
        </w:rPr>
        <w:t>案件</w:t>
      </w:r>
      <w:r>
        <w:rPr>
          <w:rFonts w:hint="eastAsia" w:ascii="宋体" w:hAnsi="宋体"/>
          <w:bCs/>
          <w:sz w:val="21"/>
          <w:szCs w:val="21"/>
        </w:rPr>
        <w:t>，统一由“</w:t>
      </w:r>
      <w:r>
        <w:rPr>
          <w:rFonts w:hint="eastAsia" w:ascii="宋体" w:hAnsi="宋体"/>
          <w:bCs/>
          <w:sz w:val="21"/>
          <w:szCs w:val="21"/>
          <w:lang w:eastAsia="zh-CN"/>
        </w:rPr>
        <w:t>广东和谐</w:t>
      </w:r>
      <w:r>
        <w:rPr>
          <w:rFonts w:hint="eastAsia" w:ascii="宋体" w:hAnsi="宋体"/>
          <w:bCs/>
          <w:sz w:val="21"/>
          <w:szCs w:val="21"/>
        </w:rPr>
        <w:t>医调委”将医疗机构递交的索赔资料代转</w:t>
      </w:r>
      <w:r>
        <w:rPr>
          <w:rFonts w:hint="eastAsia" w:ascii="宋体" w:hAnsi="宋体"/>
          <w:bCs/>
          <w:sz w:val="21"/>
          <w:szCs w:val="21"/>
          <w:lang w:eastAsia="zh-CN"/>
        </w:rPr>
        <w:t>保险</w:t>
      </w:r>
      <w:r>
        <w:rPr>
          <w:rFonts w:hint="eastAsia" w:ascii="宋体" w:hAnsi="宋体"/>
          <w:bCs/>
          <w:sz w:val="21"/>
          <w:szCs w:val="21"/>
        </w:rPr>
        <w:t>经纪公司</w:t>
      </w:r>
      <w:r>
        <w:rPr>
          <w:rFonts w:hint="eastAsia" w:ascii="宋体" w:hAnsi="宋体"/>
          <w:bCs/>
          <w:sz w:val="21"/>
          <w:szCs w:val="21"/>
          <w:lang w:eastAsia="zh-CN"/>
        </w:rPr>
        <w:t>，</w:t>
      </w:r>
      <w:r>
        <w:rPr>
          <w:rFonts w:hint="eastAsia" w:ascii="宋体" w:hAnsi="宋体"/>
          <w:bCs/>
          <w:sz w:val="21"/>
          <w:szCs w:val="21"/>
        </w:rPr>
        <w:t>由</w:t>
      </w:r>
      <w:r>
        <w:rPr>
          <w:rFonts w:hint="eastAsia" w:ascii="宋体" w:hAnsi="宋体"/>
          <w:bCs/>
          <w:sz w:val="21"/>
          <w:szCs w:val="21"/>
          <w:lang w:eastAsia="zh-CN"/>
        </w:rPr>
        <w:t>保险</w:t>
      </w:r>
      <w:r>
        <w:rPr>
          <w:rFonts w:hint="eastAsia" w:ascii="宋体" w:hAnsi="宋体"/>
          <w:bCs/>
          <w:sz w:val="21"/>
          <w:szCs w:val="21"/>
        </w:rPr>
        <w:t>经纪公司协助医疗机构进行索赔</w:t>
      </w:r>
      <w:r>
        <w:rPr>
          <w:rFonts w:hint="eastAsia" w:ascii="宋体" w:hAnsi="宋体"/>
          <w:bCs/>
          <w:sz w:val="21"/>
          <w:szCs w:val="21"/>
          <w:lang w:eastAsia="zh-CN"/>
        </w:rPr>
        <w:t>，</w:t>
      </w:r>
      <w:r>
        <w:rPr>
          <w:rFonts w:hint="eastAsia" w:ascii="宋体" w:hAnsi="宋体"/>
          <w:bCs/>
          <w:sz w:val="21"/>
          <w:szCs w:val="21"/>
        </w:rPr>
        <w:t>保险公司根据保险合同将协议赔偿款项直接支付给患方或医疗机构。</w:t>
      </w:r>
    </w:p>
    <w:p w14:paraId="354D6C8E">
      <w:pPr>
        <w:numPr>
          <w:ilvl w:val="-1"/>
          <w:numId w:val="0"/>
        </w:numPr>
        <w:spacing w:beforeLines="50" w:line="360" w:lineRule="auto"/>
        <w:ind w:firstLine="422" w:firstLineChars="200"/>
        <w:rPr>
          <w:rFonts w:hint="eastAsia" w:ascii="宋体" w:hAnsi="宋体"/>
          <w:b/>
          <w:bCs/>
          <w:color w:val="auto"/>
          <w:sz w:val="21"/>
          <w:szCs w:val="21"/>
          <w:lang w:eastAsia="zh-CN"/>
        </w:rPr>
      </w:pPr>
      <w:r>
        <w:rPr>
          <w:rFonts w:hint="eastAsia" w:ascii="宋体" w:hAnsi="宋体"/>
          <w:b/>
          <w:bCs/>
          <w:color w:val="auto"/>
          <w:sz w:val="21"/>
          <w:szCs w:val="21"/>
          <w:lang w:val="en-US" w:eastAsia="zh-CN"/>
        </w:rPr>
        <w:t>5.</w:t>
      </w:r>
      <w:r>
        <w:rPr>
          <w:rFonts w:hint="eastAsia" w:ascii="宋体" w:hAnsi="宋体"/>
          <w:b/>
          <w:bCs/>
          <w:color w:val="auto"/>
          <w:sz w:val="21"/>
          <w:szCs w:val="21"/>
          <w:lang w:eastAsia="zh-CN"/>
        </w:rPr>
        <w:t>索赔资料要求：</w:t>
      </w:r>
    </w:p>
    <w:p w14:paraId="114D07D1">
      <w:pPr>
        <w:numPr>
          <w:ilvl w:val="0"/>
          <w:numId w:val="0"/>
        </w:numPr>
        <w:spacing w:beforeLines="50" w:line="360" w:lineRule="auto"/>
        <w:rPr>
          <w:rFonts w:ascii="宋体" w:hAnsi="宋体"/>
          <w:b/>
          <w:bCs/>
          <w:color w:val="auto"/>
          <w:sz w:val="21"/>
          <w:szCs w:val="21"/>
        </w:rPr>
      </w:pPr>
      <w:r>
        <w:rPr>
          <w:rFonts w:hint="eastAsia" w:ascii="宋体" w:hAnsi="宋体"/>
          <w:b/>
          <w:bCs/>
          <w:color w:val="auto"/>
          <w:sz w:val="21"/>
          <w:szCs w:val="21"/>
          <w:lang w:val="en-US" w:eastAsia="zh-CN"/>
        </w:rPr>
        <w:t xml:space="preserve">   </w:t>
      </w:r>
      <w:r>
        <w:rPr>
          <w:rFonts w:hint="eastAsia" w:ascii="宋体" w:hAnsi="宋体"/>
          <w:b/>
          <w:bCs/>
          <w:color w:val="auto"/>
          <w:sz w:val="21"/>
          <w:szCs w:val="21"/>
        </w:rPr>
        <w:t>根据案件类型，以及是否涉及患者死亡、伤残，医方应提供对应的索赔资料如下表所列：</w:t>
      </w:r>
    </w:p>
    <w:p w14:paraId="36ABC6DF">
      <w:pPr>
        <w:pStyle w:val="32"/>
        <w:spacing w:beforeLines="90" w:afterLines="90"/>
        <w:ind w:firstLine="422"/>
        <w:rPr>
          <w:rFonts w:ascii="宋体" w:hAnsi="宋体"/>
          <w:b/>
          <w:bCs/>
          <w:color w:val="auto"/>
          <w:sz w:val="21"/>
          <w:szCs w:val="21"/>
        </w:rPr>
      </w:pPr>
      <w:r>
        <w:rPr>
          <w:rFonts w:hint="eastAsia" w:ascii="宋体" w:hAnsi="宋体"/>
          <w:b/>
          <w:bCs/>
          <w:color w:val="auto"/>
          <w:sz w:val="21"/>
          <w:szCs w:val="21"/>
        </w:rPr>
        <w:t>（1）调解案件；仲裁、</w:t>
      </w:r>
      <w:r>
        <w:rPr>
          <w:rFonts w:hint="eastAsia" w:ascii="宋体" w:hAnsi="宋体"/>
          <w:b/>
          <w:bCs/>
          <w:color w:val="auto"/>
          <w:sz w:val="21"/>
          <w:szCs w:val="21"/>
          <w:lang w:eastAsia="zh-CN"/>
        </w:rPr>
        <w:t>诉讼等</w:t>
      </w:r>
      <w:r>
        <w:rPr>
          <w:rFonts w:hint="eastAsia" w:ascii="宋体" w:hAnsi="宋体"/>
          <w:b/>
          <w:bCs/>
          <w:color w:val="auto"/>
          <w:sz w:val="21"/>
          <w:szCs w:val="21"/>
        </w:rPr>
        <w:t>司法途径案件；行政介入处理案件：</w:t>
      </w:r>
    </w:p>
    <w:p w14:paraId="14A22A8E">
      <w:pPr>
        <w:pStyle w:val="32"/>
        <w:numPr>
          <w:ilvl w:val="0"/>
          <w:numId w:val="11"/>
        </w:numPr>
        <w:spacing w:beforeLines="50"/>
        <w:ind w:firstLine="420" w:firstLineChars="200"/>
        <w:rPr>
          <w:rFonts w:ascii="宋体" w:hAnsi="宋体"/>
          <w:bCs/>
          <w:sz w:val="21"/>
          <w:szCs w:val="21"/>
        </w:rPr>
      </w:pPr>
      <w:r>
        <w:rPr>
          <w:rFonts w:hint="eastAsia" w:ascii="宋体" w:hAnsi="宋体"/>
          <w:bCs/>
          <w:color w:val="auto"/>
          <w:sz w:val="21"/>
          <w:szCs w:val="21"/>
        </w:rPr>
        <w:t>医疗机构执业许可证、组织机构代码证</w:t>
      </w:r>
      <w:r>
        <w:rPr>
          <w:rFonts w:hint="eastAsia" w:ascii="宋体" w:hAnsi="宋体"/>
          <w:bCs/>
          <w:color w:val="auto"/>
          <w:sz w:val="21"/>
          <w:szCs w:val="21"/>
          <w:lang w:eastAsia="zh-CN"/>
        </w:rPr>
        <w:t>（或事业单位法人证书）</w:t>
      </w:r>
      <w:r>
        <w:rPr>
          <w:rFonts w:hint="eastAsia" w:ascii="宋体" w:hAnsi="宋体"/>
          <w:bCs/>
          <w:color w:val="auto"/>
          <w:sz w:val="21"/>
          <w:szCs w:val="21"/>
        </w:rPr>
        <w:t>复印件</w:t>
      </w:r>
      <w:r>
        <w:rPr>
          <w:rFonts w:hint="eastAsia" w:ascii="宋体" w:hAnsi="宋体"/>
          <w:bCs/>
          <w:sz w:val="21"/>
          <w:szCs w:val="21"/>
        </w:rPr>
        <w:t>；</w:t>
      </w:r>
    </w:p>
    <w:p w14:paraId="5D451758">
      <w:pPr>
        <w:pStyle w:val="32"/>
        <w:numPr>
          <w:ilvl w:val="0"/>
          <w:numId w:val="11"/>
        </w:numPr>
        <w:spacing w:beforeLines="50"/>
        <w:ind w:firstLine="420" w:firstLineChars="200"/>
        <w:rPr>
          <w:rFonts w:ascii="宋体" w:hAnsi="宋体"/>
          <w:bCs/>
          <w:sz w:val="21"/>
          <w:szCs w:val="21"/>
        </w:rPr>
      </w:pPr>
      <w:r>
        <w:rPr>
          <w:rFonts w:hint="eastAsia" w:ascii="宋体" w:hAnsi="宋体"/>
          <w:bCs/>
          <w:sz w:val="21"/>
          <w:szCs w:val="21"/>
        </w:rPr>
        <w:t>当事医务人员执业证复印件；</w:t>
      </w:r>
    </w:p>
    <w:p w14:paraId="5F06A44C">
      <w:pPr>
        <w:pStyle w:val="32"/>
        <w:numPr>
          <w:ilvl w:val="0"/>
          <w:numId w:val="11"/>
        </w:numPr>
        <w:spacing w:beforeLines="50"/>
        <w:ind w:firstLine="420" w:firstLineChars="200"/>
        <w:rPr>
          <w:rFonts w:ascii="宋体" w:hAnsi="宋体"/>
          <w:bCs/>
          <w:sz w:val="21"/>
          <w:szCs w:val="21"/>
        </w:rPr>
      </w:pPr>
      <w:r>
        <w:rPr>
          <w:rFonts w:hint="eastAsia" w:ascii="宋体" w:hAnsi="宋体"/>
          <w:bCs/>
          <w:sz w:val="21"/>
          <w:szCs w:val="21"/>
        </w:rPr>
        <w:t>医院授权委托书原件及代理人身份证复印件；</w:t>
      </w:r>
    </w:p>
    <w:p w14:paraId="73AC4432">
      <w:pPr>
        <w:pStyle w:val="32"/>
        <w:numPr>
          <w:ilvl w:val="0"/>
          <w:numId w:val="11"/>
        </w:numPr>
        <w:spacing w:beforeLines="50"/>
        <w:ind w:firstLine="420" w:firstLineChars="200"/>
        <w:rPr>
          <w:rFonts w:hint="eastAsia" w:ascii="宋体" w:hAnsi="宋体"/>
          <w:bCs/>
          <w:sz w:val="21"/>
          <w:szCs w:val="21"/>
        </w:rPr>
      </w:pPr>
      <w:r>
        <w:rPr>
          <w:rFonts w:hint="eastAsia" w:ascii="宋体" w:hAnsi="宋体"/>
          <w:bCs/>
          <w:sz w:val="21"/>
          <w:szCs w:val="21"/>
        </w:rPr>
        <w:t>法定代表人身份证明</w:t>
      </w:r>
      <w:r>
        <w:rPr>
          <w:rFonts w:hint="eastAsia" w:ascii="宋体" w:hAnsi="宋体"/>
          <w:bCs/>
          <w:sz w:val="21"/>
          <w:szCs w:val="21"/>
          <w:lang w:eastAsia="zh-CN"/>
        </w:rPr>
        <w:t>书</w:t>
      </w:r>
      <w:r>
        <w:rPr>
          <w:rFonts w:hint="eastAsia" w:ascii="宋体" w:hAnsi="宋体"/>
          <w:bCs/>
          <w:sz w:val="21"/>
          <w:szCs w:val="21"/>
        </w:rPr>
        <w:t>；</w:t>
      </w:r>
    </w:p>
    <w:p w14:paraId="6E03BD8E">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rPr>
        <w:t>患者身份证明材料复印件；</w:t>
      </w:r>
    </w:p>
    <w:p w14:paraId="54020E9A">
      <w:pPr>
        <w:pStyle w:val="32"/>
        <w:numPr>
          <w:ilvl w:val="0"/>
          <w:numId w:val="11"/>
        </w:numPr>
        <w:spacing w:beforeLines="50"/>
        <w:ind w:firstLine="420" w:firstLineChars="200"/>
        <w:rPr>
          <w:rFonts w:hint="eastAsia" w:ascii="宋体" w:hAnsi="宋体" w:eastAsia="宋体"/>
          <w:bCs/>
          <w:sz w:val="21"/>
          <w:szCs w:val="21"/>
          <w:lang w:eastAsia="zh-CN"/>
        </w:rPr>
      </w:pPr>
      <w:r>
        <w:rPr>
          <w:rFonts w:hint="eastAsia" w:ascii="宋体" w:hAnsi="宋体"/>
          <w:bCs/>
          <w:sz w:val="21"/>
          <w:szCs w:val="21"/>
        </w:rPr>
        <w:t>患方相关权利人身份证明及关系证明复印件、授权委托书及委托代理人身份证复印件</w:t>
      </w:r>
      <w:r>
        <w:rPr>
          <w:rFonts w:hint="eastAsia" w:ascii="宋体" w:hAnsi="宋体"/>
          <w:bCs/>
          <w:sz w:val="21"/>
          <w:szCs w:val="21"/>
          <w:lang w:eastAsia="zh-CN"/>
        </w:rPr>
        <w:t>。</w:t>
      </w:r>
    </w:p>
    <w:p w14:paraId="4E6984B6">
      <w:pPr>
        <w:pStyle w:val="32"/>
        <w:numPr>
          <w:ilvl w:val="0"/>
          <w:numId w:val="11"/>
        </w:numPr>
        <w:spacing w:beforeLines="50"/>
        <w:ind w:firstLine="420" w:firstLineChars="200"/>
        <w:rPr>
          <w:rFonts w:ascii="宋体" w:hAnsi="宋体"/>
          <w:bCs/>
          <w:sz w:val="21"/>
          <w:szCs w:val="21"/>
        </w:rPr>
      </w:pPr>
      <w:r>
        <w:rPr>
          <w:rFonts w:hint="eastAsia" w:ascii="宋体" w:hAnsi="宋体"/>
          <w:bCs/>
          <w:sz w:val="21"/>
          <w:szCs w:val="21"/>
        </w:rPr>
        <w:t>病历资料复印件；</w:t>
      </w:r>
    </w:p>
    <w:p w14:paraId="44C190BB">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rPr>
        <w:t>患者伤残、死亡证明材料复印件（根据案件系患者死亡或伤残，分别对应提供），医鉴报告等；</w:t>
      </w:r>
    </w:p>
    <w:p w14:paraId="290FF91D">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rPr>
        <w:t>医疗费用单据、其他费用单据等损失证明材料原件</w:t>
      </w:r>
      <w:r>
        <w:rPr>
          <w:rFonts w:hint="eastAsia" w:ascii="宋体" w:hAnsi="宋体"/>
          <w:bCs/>
          <w:sz w:val="21"/>
          <w:szCs w:val="21"/>
          <w:lang w:eastAsia="zh-CN"/>
        </w:rPr>
        <w:t>或复印件</w:t>
      </w:r>
      <w:r>
        <w:rPr>
          <w:rFonts w:hint="eastAsia" w:ascii="宋体" w:hAnsi="宋体"/>
          <w:bCs/>
          <w:sz w:val="21"/>
          <w:szCs w:val="21"/>
        </w:rPr>
        <w:t>；</w:t>
      </w:r>
    </w:p>
    <w:p w14:paraId="0161ADFF">
      <w:pPr>
        <w:pStyle w:val="32"/>
        <w:numPr>
          <w:ilvl w:val="0"/>
          <w:numId w:val="11"/>
        </w:numPr>
        <w:spacing w:beforeLines="50" w:line="360" w:lineRule="auto"/>
        <w:ind w:firstLine="420" w:firstLineChars="200"/>
        <w:rPr>
          <w:rFonts w:ascii="宋体" w:hAnsi="宋体"/>
          <w:bCs/>
          <w:color w:val="auto"/>
          <w:sz w:val="21"/>
          <w:szCs w:val="21"/>
        </w:rPr>
      </w:pPr>
      <w:r>
        <w:rPr>
          <w:rFonts w:hint="eastAsia" w:ascii="宋体" w:hAnsi="宋体"/>
          <w:bCs/>
          <w:color w:val="auto"/>
          <w:sz w:val="21"/>
          <w:szCs w:val="21"/>
          <w:lang w:eastAsia="zh-CN"/>
        </w:rPr>
        <w:t>调解协议书；</w:t>
      </w:r>
      <w:r>
        <w:rPr>
          <w:rFonts w:hint="eastAsia" w:ascii="宋体" w:hAnsi="宋体"/>
          <w:bCs/>
          <w:color w:val="auto"/>
          <w:sz w:val="21"/>
          <w:szCs w:val="21"/>
        </w:rPr>
        <w:t>仲裁</w:t>
      </w:r>
      <w:r>
        <w:rPr>
          <w:rFonts w:hint="eastAsia" w:ascii="宋体" w:hAnsi="宋体"/>
          <w:bCs/>
          <w:color w:val="auto"/>
          <w:sz w:val="21"/>
          <w:szCs w:val="21"/>
          <w:lang w:eastAsia="zh-CN"/>
        </w:rPr>
        <w:t>裁决</w:t>
      </w:r>
      <w:r>
        <w:rPr>
          <w:rFonts w:ascii="宋体" w:hAnsi="宋体"/>
          <w:bCs/>
          <w:color w:val="auto"/>
          <w:sz w:val="21"/>
          <w:szCs w:val="21"/>
        </w:rPr>
        <w:t>书</w:t>
      </w:r>
      <w:r>
        <w:rPr>
          <w:rFonts w:hint="eastAsia" w:ascii="宋体" w:hAnsi="宋体"/>
          <w:bCs/>
          <w:color w:val="auto"/>
          <w:sz w:val="21"/>
          <w:szCs w:val="21"/>
        </w:rPr>
        <w:t>/</w:t>
      </w:r>
      <w:r>
        <w:rPr>
          <w:rFonts w:ascii="宋体" w:hAnsi="宋体"/>
          <w:bCs/>
          <w:color w:val="auto"/>
          <w:sz w:val="21"/>
          <w:szCs w:val="21"/>
        </w:rPr>
        <w:t>法院</w:t>
      </w:r>
      <w:r>
        <w:rPr>
          <w:rFonts w:hint="eastAsia" w:ascii="宋体" w:hAnsi="宋体"/>
          <w:bCs/>
          <w:color w:val="auto"/>
          <w:sz w:val="21"/>
          <w:szCs w:val="21"/>
          <w:lang w:eastAsia="zh-CN"/>
        </w:rPr>
        <w:t>判决</w:t>
      </w:r>
      <w:r>
        <w:rPr>
          <w:rFonts w:hint="eastAsia" w:ascii="宋体" w:hAnsi="宋体"/>
          <w:bCs/>
          <w:color w:val="auto"/>
          <w:sz w:val="21"/>
          <w:szCs w:val="21"/>
        </w:rPr>
        <w:t>书/</w:t>
      </w:r>
      <w:r>
        <w:rPr>
          <w:rFonts w:ascii="宋体" w:hAnsi="宋体"/>
          <w:bCs/>
          <w:color w:val="auto"/>
          <w:sz w:val="21"/>
          <w:szCs w:val="21"/>
        </w:rPr>
        <w:t>法院调解书</w:t>
      </w:r>
      <w:r>
        <w:rPr>
          <w:rFonts w:hint="eastAsia" w:ascii="宋体" w:hAnsi="宋体"/>
          <w:bCs/>
          <w:color w:val="auto"/>
          <w:sz w:val="21"/>
          <w:szCs w:val="21"/>
        </w:rPr>
        <w:t>/</w:t>
      </w:r>
      <w:r>
        <w:rPr>
          <w:rFonts w:hint="eastAsia" w:ascii="宋体" w:hAnsi="宋体"/>
          <w:bCs/>
          <w:color w:val="auto"/>
          <w:sz w:val="21"/>
          <w:szCs w:val="21"/>
          <w:lang w:eastAsia="zh-CN"/>
        </w:rPr>
        <w:t>法院裁定书</w:t>
      </w:r>
      <w:r>
        <w:rPr>
          <w:rFonts w:hint="eastAsia" w:ascii="宋体" w:hAnsi="宋体"/>
          <w:bCs/>
          <w:color w:val="auto"/>
          <w:sz w:val="21"/>
          <w:szCs w:val="21"/>
          <w:lang w:val="en-US" w:eastAsia="zh-CN"/>
        </w:rPr>
        <w:t>/</w:t>
      </w:r>
      <w:r>
        <w:rPr>
          <w:rFonts w:ascii="宋体" w:hAnsi="宋体"/>
          <w:bCs/>
          <w:color w:val="auto"/>
          <w:sz w:val="21"/>
          <w:szCs w:val="21"/>
        </w:rPr>
        <w:t>行政</w:t>
      </w:r>
      <w:r>
        <w:rPr>
          <w:rFonts w:hint="eastAsia" w:ascii="宋体" w:hAnsi="宋体"/>
          <w:bCs/>
          <w:color w:val="auto"/>
          <w:sz w:val="21"/>
          <w:szCs w:val="21"/>
        </w:rPr>
        <w:t>介入</w:t>
      </w:r>
      <w:r>
        <w:rPr>
          <w:rFonts w:ascii="宋体" w:hAnsi="宋体"/>
          <w:bCs/>
          <w:color w:val="auto"/>
          <w:sz w:val="21"/>
          <w:szCs w:val="21"/>
        </w:rPr>
        <w:t>处理意见</w:t>
      </w:r>
      <w:r>
        <w:rPr>
          <w:rFonts w:hint="eastAsia" w:ascii="宋体" w:hAnsi="宋体"/>
          <w:bCs/>
          <w:color w:val="auto"/>
          <w:sz w:val="21"/>
          <w:szCs w:val="21"/>
        </w:rPr>
        <w:t>（仲裁</w:t>
      </w:r>
      <w:r>
        <w:rPr>
          <w:rFonts w:ascii="宋体" w:hAnsi="宋体"/>
          <w:bCs/>
          <w:color w:val="auto"/>
          <w:sz w:val="21"/>
          <w:szCs w:val="21"/>
        </w:rPr>
        <w:t>、</w:t>
      </w:r>
      <w:r>
        <w:rPr>
          <w:rFonts w:hint="eastAsia" w:ascii="宋体" w:hAnsi="宋体"/>
          <w:bCs/>
          <w:color w:val="auto"/>
          <w:sz w:val="21"/>
          <w:szCs w:val="21"/>
          <w:lang w:eastAsia="zh-CN"/>
        </w:rPr>
        <w:t>诉讼等</w:t>
      </w:r>
      <w:r>
        <w:rPr>
          <w:rFonts w:ascii="宋体" w:hAnsi="宋体"/>
          <w:bCs/>
          <w:color w:val="auto"/>
          <w:sz w:val="21"/>
          <w:szCs w:val="21"/>
        </w:rPr>
        <w:t>司法途径案件、行政介入处理案件必需）；</w:t>
      </w:r>
    </w:p>
    <w:p w14:paraId="331F76A0">
      <w:pPr>
        <w:pStyle w:val="32"/>
        <w:numPr>
          <w:ilvl w:val="0"/>
          <w:numId w:val="11"/>
        </w:numPr>
        <w:spacing w:beforeLines="50" w:line="360" w:lineRule="auto"/>
        <w:ind w:firstLine="420" w:firstLineChars="200"/>
        <w:rPr>
          <w:rFonts w:hint="eastAsia" w:ascii="宋体" w:hAnsi="宋体"/>
          <w:bCs/>
          <w:color w:val="auto"/>
          <w:sz w:val="21"/>
          <w:szCs w:val="21"/>
          <w:lang w:eastAsia="zh-CN"/>
        </w:rPr>
      </w:pPr>
      <w:r>
        <w:rPr>
          <w:rFonts w:hint="eastAsia" w:ascii="宋体" w:hAnsi="宋体"/>
          <w:bCs/>
          <w:color w:val="auto"/>
          <w:sz w:val="21"/>
          <w:szCs w:val="21"/>
        </w:rPr>
        <w:t>代理律师结案报告</w:t>
      </w:r>
      <w:r>
        <w:rPr>
          <w:rFonts w:hint="eastAsia" w:ascii="宋体" w:hAnsi="宋体"/>
          <w:bCs/>
          <w:color w:val="auto"/>
          <w:sz w:val="21"/>
          <w:szCs w:val="21"/>
          <w:lang w:eastAsia="zh-CN"/>
        </w:rPr>
        <w:t>（仲裁、诉讼等司法途径案件必需）；</w:t>
      </w:r>
    </w:p>
    <w:p w14:paraId="532D38D9">
      <w:pPr>
        <w:pStyle w:val="32"/>
        <w:numPr>
          <w:ilvl w:val="0"/>
          <w:numId w:val="11"/>
        </w:numPr>
        <w:spacing w:beforeLines="50" w:line="360" w:lineRule="auto"/>
        <w:ind w:firstLine="420" w:firstLineChars="200"/>
        <w:rPr>
          <w:rFonts w:hint="eastAsia" w:ascii="宋体" w:hAnsi="宋体"/>
          <w:bCs/>
          <w:color w:val="auto"/>
          <w:sz w:val="21"/>
          <w:szCs w:val="21"/>
          <w:lang w:eastAsia="zh-CN"/>
        </w:rPr>
      </w:pPr>
      <w:r>
        <w:rPr>
          <w:rFonts w:hint="eastAsia" w:ascii="宋体" w:hAnsi="宋体"/>
          <w:bCs/>
          <w:color w:val="auto"/>
          <w:sz w:val="21"/>
          <w:szCs w:val="21"/>
          <w:lang w:eastAsia="zh-CN"/>
        </w:rPr>
        <w:t>应诉通知书（法院或仲裁委出具，仲裁、诉讼等司法途径案件必需）；</w:t>
      </w:r>
    </w:p>
    <w:p w14:paraId="70DE29F1">
      <w:pPr>
        <w:pStyle w:val="32"/>
        <w:numPr>
          <w:ilvl w:val="0"/>
          <w:numId w:val="11"/>
        </w:numPr>
        <w:spacing w:beforeLines="50" w:line="360" w:lineRule="auto"/>
        <w:ind w:firstLine="420" w:firstLineChars="200"/>
        <w:rPr>
          <w:rFonts w:hint="eastAsia" w:ascii="宋体" w:hAnsi="宋体"/>
          <w:bCs/>
          <w:sz w:val="21"/>
          <w:szCs w:val="21"/>
          <w:lang w:eastAsia="zh-CN"/>
        </w:rPr>
      </w:pPr>
      <w:r>
        <w:rPr>
          <w:rFonts w:hint="eastAsia" w:ascii="宋体" w:hAnsi="宋体"/>
          <w:bCs/>
          <w:sz w:val="21"/>
          <w:szCs w:val="21"/>
          <w:lang w:eastAsia="zh-CN"/>
        </w:rPr>
        <w:t>民事起诉状或仲裁申请书（仲裁、诉讼等司法途径案件必需）；</w:t>
      </w:r>
    </w:p>
    <w:p w14:paraId="4138CDD5">
      <w:pPr>
        <w:pStyle w:val="32"/>
        <w:numPr>
          <w:ilvl w:val="0"/>
          <w:numId w:val="11"/>
        </w:numPr>
        <w:spacing w:beforeLines="50" w:line="360" w:lineRule="auto"/>
        <w:ind w:firstLine="420" w:firstLineChars="200"/>
        <w:rPr>
          <w:rFonts w:ascii="宋体" w:hAnsi="宋体"/>
          <w:bCs/>
          <w:color w:val="auto"/>
          <w:sz w:val="21"/>
          <w:szCs w:val="21"/>
        </w:rPr>
      </w:pPr>
      <w:r>
        <w:rPr>
          <w:rFonts w:hint="eastAsia" w:ascii="宋体" w:hAnsi="宋体"/>
          <w:bCs/>
          <w:color w:val="auto"/>
          <w:sz w:val="21"/>
          <w:szCs w:val="21"/>
        </w:rPr>
        <w:t>医疗责任保险索赔申请书、确认书原件；</w:t>
      </w:r>
    </w:p>
    <w:p w14:paraId="34972570">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rPr>
        <w:t>赔款证明或患者收款收据原件</w:t>
      </w:r>
      <w:r>
        <w:rPr>
          <w:rFonts w:hint="eastAsia" w:ascii="宋体" w:hAnsi="宋体"/>
          <w:bCs/>
          <w:sz w:val="21"/>
          <w:szCs w:val="21"/>
          <w:lang w:eastAsia="zh-CN"/>
        </w:rPr>
        <w:t>或</w:t>
      </w:r>
      <w:r>
        <w:rPr>
          <w:rFonts w:hint="eastAsia" w:ascii="宋体" w:hAnsi="宋体"/>
          <w:bCs/>
          <w:sz w:val="21"/>
          <w:szCs w:val="21"/>
        </w:rPr>
        <w:t>复印件；</w:t>
      </w:r>
    </w:p>
    <w:p w14:paraId="787B6A50">
      <w:pPr>
        <w:pStyle w:val="32"/>
        <w:numPr>
          <w:ilvl w:val="0"/>
          <w:numId w:val="11"/>
        </w:numPr>
        <w:spacing w:beforeLines="50" w:line="360" w:lineRule="auto"/>
        <w:ind w:firstLine="420" w:firstLineChars="200"/>
        <w:rPr>
          <w:rFonts w:ascii="宋体" w:hAnsi="宋体"/>
          <w:bCs/>
          <w:sz w:val="21"/>
          <w:szCs w:val="21"/>
        </w:rPr>
      </w:pPr>
      <w:r>
        <w:rPr>
          <w:rFonts w:hint="eastAsia" w:ascii="宋体" w:hAnsi="宋体"/>
          <w:bCs/>
          <w:sz w:val="21"/>
          <w:szCs w:val="21"/>
          <w:lang w:eastAsia="zh-CN"/>
        </w:rPr>
        <w:t>医方或患方银行账户信息</w:t>
      </w:r>
      <w:r>
        <w:rPr>
          <w:rFonts w:hint="eastAsia" w:ascii="宋体" w:hAnsi="宋体"/>
          <w:bCs/>
          <w:sz w:val="21"/>
          <w:szCs w:val="21"/>
        </w:rPr>
        <w:t>。</w:t>
      </w:r>
    </w:p>
    <w:p w14:paraId="24810323">
      <w:pPr>
        <w:pStyle w:val="32"/>
        <w:spacing w:beforeLines="90" w:afterLines="90"/>
        <w:ind w:firstLine="422"/>
        <w:rPr>
          <w:rFonts w:ascii="宋体" w:hAnsi="宋体"/>
          <w:b/>
          <w:bCs/>
          <w:sz w:val="21"/>
          <w:szCs w:val="21"/>
        </w:rPr>
      </w:pPr>
      <w:r>
        <w:rPr>
          <w:rFonts w:hint="eastAsia" w:ascii="宋体" w:hAnsi="宋体"/>
          <w:b/>
          <w:bCs/>
          <w:sz w:val="21"/>
          <w:szCs w:val="21"/>
        </w:rPr>
        <w:t>（2）自行和解案件：</w:t>
      </w:r>
    </w:p>
    <w:p w14:paraId="2CC10F67">
      <w:pPr>
        <w:pStyle w:val="32"/>
        <w:spacing w:beforeLines="50" w:line="360" w:lineRule="auto"/>
        <w:ind w:firstLine="367" w:firstLineChars="175"/>
        <w:rPr>
          <w:rFonts w:ascii="宋体" w:hAnsi="宋体"/>
          <w:bCs/>
          <w:sz w:val="21"/>
          <w:szCs w:val="21"/>
        </w:rPr>
      </w:pPr>
      <w:r>
        <w:rPr>
          <w:rFonts w:hint="eastAsia" w:ascii="宋体" w:hAnsi="宋体"/>
          <w:bCs/>
          <w:sz w:val="21"/>
          <w:szCs w:val="21"/>
        </w:rPr>
        <w:t>①医疗机构执业许可证、组织机构代码证</w:t>
      </w:r>
      <w:r>
        <w:rPr>
          <w:rFonts w:hint="eastAsia" w:ascii="宋体" w:hAnsi="宋体"/>
          <w:bCs/>
          <w:color w:val="auto"/>
          <w:sz w:val="21"/>
          <w:szCs w:val="21"/>
          <w:lang w:eastAsia="zh-CN"/>
        </w:rPr>
        <w:t>（或事业单位法人证书）</w:t>
      </w:r>
      <w:r>
        <w:rPr>
          <w:rFonts w:hint="eastAsia" w:ascii="宋体" w:hAnsi="宋体"/>
          <w:bCs/>
          <w:sz w:val="21"/>
          <w:szCs w:val="21"/>
        </w:rPr>
        <w:t>复印件；</w:t>
      </w:r>
    </w:p>
    <w:p w14:paraId="0A63FC03">
      <w:pPr>
        <w:pStyle w:val="32"/>
        <w:spacing w:beforeLines="50" w:line="360" w:lineRule="auto"/>
        <w:ind w:firstLine="367" w:firstLineChars="175"/>
        <w:rPr>
          <w:rFonts w:ascii="宋体" w:hAnsi="宋体"/>
          <w:bCs/>
          <w:sz w:val="21"/>
          <w:szCs w:val="21"/>
        </w:rPr>
      </w:pPr>
      <w:r>
        <w:rPr>
          <w:rFonts w:hint="eastAsia" w:ascii="宋体" w:hAnsi="宋体"/>
          <w:bCs/>
          <w:sz w:val="21"/>
          <w:szCs w:val="21"/>
        </w:rPr>
        <w:t>②当事医务人员执业证复印件；</w:t>
      </w:r>
    </w:p>
    <w:p w14:paraId="23125B09">
      <w:pPr>
        <w:pStyle w:val="32"/>
        <w:spacing w:beforeLines="50" w:line="360" w:lineRule="auto"/>
        <w:ind w:firstLine="367" w:firstLineChars="175"/>
        <w:rPr>
          <w:rFonts w:ascii="宋体" w:hAnsi="宋体"/>
          <w:bCs/>
          <w:sz w:val="21"/>
          <w:szCs w:val="21"/>
        </w:rPr>
      </w:pPr>
      <w:r>
        <w:rPr>
          <w:rFonts w:hint="eastAsia" w:ascii="宋体" w:hAnsi="宋体"/>
          <w:bCs/>
          <w:sz w:val="21"/>
          <w:szCs w:val="21"/>
        </w:rPr>
        <w:t>③医院授权委托书原件及代理人身份证复印件；</w:t>
      </w:r>
    </w:p>
    <w:p w14:paraId="3E52405E">
      <w:pPr>
        <w:pStyle w:val="32"/>
        <w:spacing w:beforeLines="50" w:line="360" w:lineRule="auto"/>
        <w:ind w:firstLine="367" w:firstLineChars="175"/>
        <w:rPr>
          <w:rFonts w:ascii="宋体" w:hAnsi="宋体"/>
          <w:bCs/>
          <w:sz w:val="21"/>
          <w:szCs w:val="21"/>
        </w:rPr>
      </w:pPr>
      <w:r>
        <w:rPr>
          <w:rFonts w:hint="eastAsia" w:ascii="宋体" w:hAnsi="宋体"/>
          <w:bCs/>
          <w:sz w:val="21"/>
          <w:szCs w:val="21"/>
        </w:rPr>
        <w:t>④法定代表人身份证明</w:t>
      </w:r>
      <w:r>
        <w:rPr>
          <w:rFonts w:hint="eastAsia" w:ascii="宋体" w:hAnsi="宋体"/>
          <w:bCs/>
          <w:sz w:val="21"/>
          <w:szCs w:val="21"/>
          <w:lang w:eastAsia="zh-CN"/>
        </w:rPr>
        <w:t>书</w:t>
      </w:r>
      <w:r>
        <w:rPr>
          <w:rFonts w:hint="eastAsia" w:ascii="宋体" w:hAnsi="宋体"/>
          <w:bCs/>
          <w:sz w:val="21"/>
          <w:szCs w:val="21"/>
        </w:rPr>
        <w:t>；</w:t>
      </w:r>
    </w:p>
    <w:p w14:paraId="0CE3FD31">
      <w:pPr>
        <w:pStyle w:val="32"/>
        <w:spacing w:beforeLines="50" w:line="360" w:lineRule="auto"/>
        <w:ind w:firstLine="367" w:firstLineChars="175"/>
        <w:rPr>
          <w:rFonts w:ascii="宋体" w:hAnsi="宋体"/>
          <w:bCs/>
          <w:sz w:val="21"/>
          <w:szCs w:val="21"/>
        </w:rPr>
      </w:pPr>
      <w:r>
        <w:rPr>
          <w:rFonts w:hint="eastAsia" w:ascii="宋体" w:hAnsi="宋体"/>
          <w:bCs/>
          <w:sz w:val="21"/>
          <w:szCs w:val="21"/>
        </w:rPr>
        <w:t>⑤病历资料复印件；</w:t>
      </w:r>
    </w:p>
    <w:p w14:paraId="6AE36267">
      <w:pPr>
        <w:pStyle w:val="32"/>
        <w:spacing w:beforeLines="50" w:line="360" w:lineRule="auto"/>
        <w:ind w:firstLine="367" w:firstLineChars="175"/>
        <w:rPr>
          <w:rFonts w:ascii="宋体" w:hAnsi="宋体"/>
          <w:bCs/>
          <w:sz w:val="21"/>
          <w:szCs w:val="21"/>
        </w:rPr>
      </w:pPr>
      <w:r>
        <w:rPr>
          <w:rFonts w:hint="eastAsia" w:ascii="宋体" w:hAnsi="宋体"/>
          <w:bCs/>
          <w:sz w:val="21"/>
          <w:szCs w:val="21"/>
        </w:rPr>
        <w:t>⑥患者伤残、死亡证明材料复印件（根据案件系患者死亡或伤残，分别对应提供）；</w:t>
      </w:r>
    </w:p>
    <w:p w14:paraId="0E009D01">
      <w:pPr>
        <w:pStyle w:val="32"/>
        <w:spacing w:beforeLines="50" w:line="360" w:lineRule="auto"/>
        <w:ind w:firstLine="367" w:firstLineChars="175"/>
        <w:rPr>
          <w:rFonts w:ascii="宋体" w:hAnsi="宋体"/>
          <w:sz w:val="21"/>
          <w:szCs w:val="21"/>
        </w:rPr>
      </w:pPr>
      <w:r>
        <w:rPr>
          <w:rFonts w:hint="eastAsia" w:ascii="宋体" w:hAnsi="宋体"/>
          <w:sz w:val="21"/>
          <w:szCs w:val="21"/>
        </w:rPr>
        <w:t>⑦医方免除医疗费的损失证明（医疗费用单据、其他费用单据等损失证明材料原件）；</w:t>
      </w:r>
    </w:p>
    <w:p w14:paraId="2B64648D">
      <w:pPr>
        <w:pStyle w:val="32"/>
        <w:spacing w:beforeLines="50" w:line="360" w:lineRule="auto"/>
        <w:ind w:firstLine="367" w:firstLineChars="175"/>
        <w:rPr>
          <w:rFonts w:ascii="宋体" w:hAnsi="宋体"/>
          <w:bCs/>
          <w:sz w:val="21"/>
          <w:szCs w:val="21"/>
        </w:rPr>
      </w:pPr>
      <w:r>
        <w:rPr>
          <w:rFonts w:hint="eastAsia" w:ascii="宋体" w:hAnsi="宋体"/>
          <w:bCs/>
          <w:sz w:val="21"/>
          <w:szCs w:val="21"/>
        </w:rPr>
        <w:t>⑧医患自行和解协议书；</w:t>
      </w:r>
    </w:p>
    <w:p w14:paraId="3622160D">
      <w:pPr>
        <w:pStyle w:val="32"/>
        <w:spacing w:beforeLines="50" w:line="360" w:lineRule="auto"/>
        <w:ind w:firstLine="367" w:firstLineChars="175"/>
        <w:rPr>
          <w:rFonts w:ascii="宋体" w:hAnsi="宋体"/>
          <w:bCs/>
          <w:sz w:val="21"/>
          <w:szCs w:val="21"/>
        </w:rPr>
      </w:pPr>
      <w:r>
        <w:rPr>
          <w:rFonts w:hint="eastAsia" w:ascii="宋体" w:hAnsi="宋体"/>
          <w:bCs/>
          <w:sz w:val="21"/>
          <w:szCs w:val="21"/>
        </w:rPr>
        <w:t>⑨医疗责任保险索赔申请书、确认书原件；</w:t>
      </w:r>
    </w:p>
    <w:p w14:paraId="33A6461B">
      <w:pPr>
        <w:pStyle w:val="32"/>
        <w:spacing w:beforeLines="50" w:line="360" w:lineRule="auto"/>
        <w:ind w:firstLine="367" w:firstLineChars="175"/>
        <w:rPr>
          <w:rFonts w:ascii="宋体" w:hAnsi="宋体"/>
          <w:bCs/>
          <w:sz w:val="21"/>
          <w:szCs w:val="21"/>
        </w:rPr>
      </w:pPr>
      <w:r>
        <w:rPr>
          <w:rFonts w:hint="eastAsia" w:ascii="宋体" w:hAnsi="宋体"/>
          <w:bCs/>
          <w:sz w:val="21"/>
          <w:szCs w:val="21"/>
        </w:rPr>
        <w:t>⑩赔款证明或患者收款收据原件</w:t>
      </w:r>
      <w:r>
        <w:rPr>
          <w:rFonts w:hint="eastAsia" w:ascii="宋体" w:hAnsi="宋体"/>
          <w:bCs/>
          <w:sz w:val="21"/>
          <w:szCs w:val="21"/>
          <w:lang w:eastAsia="zh-CN"/>
        </w:rPr>
        <w:t>或</w:t>
      </w:r>
      <w:r>
        <w:rPr>
          <w:rFonts w:hint="eastAsia" w:ascii="宋体" w:hAnsi="宋体"/>
          <w:bCs/>
          <w:sz w:val="21"/>
          <w:szCs w:val="21"/>
        </w:rPr>
        <w:t>复印件；</w:t>
      </w:r>
    </w:p>
    <w:p w14:paraId="456D6DFD">
      <w:pPr>
        <w:pStyle w:val="32"/>
        <w:spacing w:beforeLines="50" w:line="360" w:lineRule="auto"/>
        <w:ind w:firstLine="367" w:firstLineChars="175"/>
        <w:rPr>
          <w:rFonts w:ascii="宋体" w:hAnsi="宋体"/>
          <w:bCs/>
          <w:sz w:val="21"/>
          <w:szCs w:val="21"/>
        </w:rPr>
      </w:pPr>
      <w:r>
        <w:rPr>
          <w:rFonts w:ascii="宋体" w:hAnsi="宋体"/>
          <w:bCs/>
          <w:sz w:val="21"/>
          <w:szCs w:val="21"/>
        </w:rPr>
        <w:t>⑪</w:t>
      </w:r>
      <w:r>
        <w:rPr>
          <w:rFonts w:hint="eastAsia" w:ascii="宋体" w:hAnsi="宋体"/>
          <w:bCs/>
          <w:sz w:val="21"/>
          <w:szCs w:val="21"/>
          <w:lang w:eastAsia="zh-CN"/>
        </w:rPr>
        <w:t>医方或患方银行账户信息</w:t>
      </w:r>
      <w:r>
        <w:rPr>
          <w:rFonts w:hint="eastAsia" w:ascii="宋体" w:hAnsi="宋体"/>
          <w:bCs/>
          <w:sz w:val="21"/>
          <w:szCs w:val="21"/>
        </w:rPr>
        <w:t>；</w:t>
      </w:r>
    </w:p>
    <w:p w14:paraId="3E8359DC">
      <w:pPr>
        <w:pStyle w:val="32"/>
        <w:spacing w:beforeLines="50" w:line="360" w:lineRule="auto"/>
        <w:ind w:firstLine="367" w:firstLineChars="175"/>
        <w:rPr>
          <w:rFonts w:ascii="宋体" w:hAnsi="宋体"/>
          <w:bCs/>
          <w:sz w:val="21"/>
          <w:szCs w:val="21"/>
        </w:rPr>
      </w:pPr>
      <w:r>
        <w:rPr>
          <w:rFonts w:ascii="宋体" w:hAnsi="宋体"/>
          <w:bCs/>
          <w:sz w:val="21"/>
          <w:szCs w:val="21"/>
        </w:rPr>
        <w:t>⑫</w:t>
      </w:r>
      <w:r>
        <w:rPr>
          <w:rFonts w:hint="eastAsia" w:ascii="宋体" w:hAnsi="宋体"/>
          <w:bCs/>
          <w:sz w:val="21"/>
          <w:szCs w:val="21"/>
        </w:rPr>
        <w:t>患者身份证明材料复印件；</w:t>
      </w:r>
    </w:p>
    <w:p w14:paraId="124C0FF9">
      <w:pPr>
        <w:pStyle w:val="32"/>
        <w:spacing w:beforeLines="50" w:line="360" w:lineRule="auto"/>
        <w:ind w:firstLine="367" w:firstLineChars="175"/>
        <w:rPr>
          <w:rFonts w:hint="eastAsia" w:ascii="宋体" w:hAnsi="宋体"/>
          <w:bCs/>
          <w:sz w:val="21"/>
          <w:szCs w:val="21"/>
        </w:rPr>
      </w:pPr>
      <w:r>
        <w:rPr>
          <w:rFonts w:ascii="宋体" w:hAnsi="宋体"/>
          <w:bCs/>
          <w:sz w:val="21"/>
          <w:szCs w:val="21"/>
        </w:rPr>
        <w:t>⑬</w:t>
      </w:r>
      <w:r>
        <w:rPr>
          <w:rFonts w:hint="eastAsia" w:ascii="宋体" w:hAnsi="宋体"/>
          <w:bCs/>
          <w:sz w:val="21"/>
          <w:szCs w:val="21"/>
        </w:rPr>
        <w:t>患方相关权利人身份证明及关系证明复印件、授权委托书及委托代理人身份证复印件（死亡案件必需。如医院无法提供，由医院承诺不得再次追究保险责任。）</w:t>
      </w:r>
    </w:p>
    <w:p w14:paraId="75C6AF28">
      <w:pPr>
        <w:pStyle w:val="2"/>
        <w:jc w:val="both"/>
        <w:rPr>
          <w:rFonts w:hint="eastAsia" w:ascii="微软雅黑" w:hAnsi="微软雅黑" w:eastAsia="微软雅黑"/>
          <w:kern w:val="44"/>
          <w:sz w:val="32"/>
          <w:szCs w:val="32"/>
        </w:rPr>
        <w:sectPr>
          <w:pgSz w:w="11906" w:h="16838"/>
          <w:pgMar w:top="1418" w:right="1588" w:bottom="1246" w:left="1701" w:header="851" w:footer="515" w:gutter="0"/>
          <w:cols w:space="720" w:num="1"/>
          <w:docGrid w:type="lines" w:linePitch="312" w:charSpace="0"/>
        </w:sectPr>
      </w:pPr>
    </w:p>
    <w:p w14:paraId="748F2F05">
      <w:pPr>
        <w:spacing w:line="360" w:lineRule="auto"/>
        <w:rPr>
          <w:rFonts w:ascii="宋体" w:hAnsi="宋体"/>
          <w:color w:val="auto"/>
        </w:rPr>
      </w:pPr>
      <w:r>
        <w:rPr>
          <w:rFonts w:hint="eastAsia" w:ascii="宋体" w:hAnsi="宋体"/>
          <w:b/>
          <w:color w:val="auto"/>
          <w:u w:val="single"/>
          <w:lang w:eastAsia="zh-CN"/>
        </w:rPr>
        <w:t>七、</w:t>
      </w:r>
      <w:r>
        <w:rPr>
          <w:rFonts w:hint="eastAsia" w:ascii="宋体" w:hAnsi="宋体"/>
          <w:b/>
          <w:color w:val="auto"/>
          <w:u w:val="single"/>
        </w:rPr>
        <w:t>服务要求</w:t>
      </w:r>
    </w:p>
    <w:p w14:paraId="218A5F0A">
      <w:pPr>
        <w:tabs>
          <w:tab w:val="left" w:pos="1145"/>
        </w:tabs>
        <w:spacing w:line="360" w:lineRule="auto"/>
        <w:rPr>
          <w:rFonts w:ascii="宋体" w:hAnsi="宋体" w:cs="宋体"/>
          <w:color w:val="auto"/>
        </w:rPr>
      </w:pPr>
      <w:r>
        <w:rPr>
          <w:rFonts w:hint="eastAsia" w:ascii="宋体" w:hAnsi="宋体" w:cs="宋体"/>
          <w:color w:val="auto"/>
        </w:rPr>
        <w:t>1. 组织实施条款</w:t>
      </w:r>
    </w:p>
    <w:p w14:paraId="216C8669">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为保证与投保人/被保险人建立良好的保险合作关系，承保保险公司应切实履行以下服务，并组织实施。 </w:t>
      </w:r>
    </w:p>
    <w:p w14:paraId="09591A29">
      <w:pPr>
        <w:numPr>
          <w:ilvl w:val="1"/>
          <w:numId w:val="12"/>
        </w:numPr>
        <w:tabs>
          <w:tab w:val="left" w:pos="420"/>
        </w:tabs>
        <w:spacing w:line="360" w:lineRule="auto"/>
        <w:rPr>
          <w:rFonts w:ascii="宋体" w:hAnsi="宋体" w:cs="宋体"/>
          <w:color w:val="auto"/>
        </w:rPr>
      </w:pPr>
      <w:r>
        <w:rPr>
          <w:rFonts w:hint="eastAsia" w:ascii="宋体" w:hAnsi="宋体" w:cs="宋体"/>
          <w:color w:val="auto"/>
        </w:rPr>
        <w:t xml:space="preserve">成立专项服务小组 </w:t>
      </w:r>
    </w:p>
    <w:p w14:paraId="3BE01170">
      <w:pPr>
        <w:tabs>
          <w:tab w:val="left" w:pos="420"/>
        </w:tabs>
        <w:spacing w:line="360" w:lineRule="auto"/>
        <w:ind w:firstLine="840" w:firstLineChars="400"/>
        <w:rPr>
          <w:rFonts w:ascii="宋体" w:hAnsi="宋体" w:cs="宋体"/>
          <w:color w:val="auto"/>
        </w:rPr>
      </w:pPr>
      <w:r>
        <w:rPr>
          <w:rFonts w:hint="eastAsia" w:ascii="宋体" w:hAnsi="宋体" w:cs="宋体"/>
          <w:color w:val="auto"/>
        </w:rPr>
        <w:t>项目专项服务小组应按照以下方式组成：</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120"/>
        <w:gridCol w:w="2120"/>
        <w:gridCol w:w="2120"/>
      </w:tblGrid>
      <w:tr w14:paraId="2A13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120" w:type="dxa"/>
            <w:noWrap w:val="0"/>
            <w:vAlign w:val="top"/>
          </w:tcPr>
          <w:p w14:paraId="4200117C">
            <w:pPr>
              <w:rPr>
                <w:rFonts w:ascii="宋体" w:hAnsi="宋体" w:cs="宋体"/>
                <w:color w:val="auto"/>
              </w:rPr>
            </w:pPr>
            <w:r>
              <w:rPr>
                <w:rFonts w:hint="eastAsia" w:ascii="宋体" w:hAnsi="宋体" w:cs="宋体"/>
                <w:color w:val="auto"/>
              </w:rPr>
              <w:t xml:space="preserve">姓  名 </w:t>
            </w:r>
          </w:p>
        </w:tc>
        <w:tc>
          <w:tcPr>
            <w:tcW w:w="2120" w:type="dxa"/>
            <w:noWrap w:val="0"/>
            <w:vAlign w:val="top"/>
          </w:tcPr>
          <w:p w14:paraId="70F6459A">
            <w:pPr>
              <w:rPr>
                <w:rFonts w:ascii="宋体" w:hAnsi="宋体" w:cs="宋体"/>
                <w:color w:val="auto"/>
              </w:rPr>
            </w:pPr>
            <w:r>
              <w:rPr>
                <w:rFonts w:hint="eastAsia" w:ascii="宋体" w:hAnsi="宋体" w:cs="宋体"/>
                <w:color w:val="auto"/>
              </w:rPr>
              <w:t xml:space="preserve">职      务 </w:t>
            </w:r>
          </w:p>
        </w:tc>
        <w:tc>
          <w:tcPr>
            <w:tcW w:w="2120" w:type="dxa"/>
            <w:noWrap w:val="0"/>
            <w:vAlign w:val="top"/>
          </w:tcPr>
          <w:p w14:paraId="63243D96">
            <w:pPr>
              <w:rPr>
                <w:rFonts w:ascii="宋体" w:hAnsi="宋体" w:cs="宋体"/>
                <w:color w:val="auto"/>
              </w:rPr>
            </w:pPr>
            <w:r>
              <w:rPr>
                <w:rFonts w:hint="eastAsia" w:ascii="宋体" w:hAnsi="宋体" w:cs="宋体"/>
                <w:color w:val="auto"/>
              </w:rPr>
              <w:t xml:space="preserve">办公电话 </w:t>
            </w:r>
          </w:p>
        </w:tc>
        <w:tc>
          <w:tcPr>
            <w:tcW w:w="2120" w:type="dxa"/>
            <w:noWrap w:val="0"/>
            <w:vAlign w:val="top"/>
          </w:tcPr>
          <w:p w14:paraId="3E43AE87">
            <w:pPr>
              <w:rPr>
                <w:rFonts w:ascii="宋体" w:hAnsi="宋体" w:cs="宋体"/>
                <w:color w:val="auto"/>
              </w:rPr>
            </w:pPr>
            <w:r>
              <w:rPr>
                <w:rFonts w:hint="eastAsia" w:ascii="宋体" w:hAnsi="宋体" w:cs="宋体"/>
                <w:color w:val="auto"/>
              </w:rPr>
              <w:t xml:space="preserve">手机 </w:t>
            </w:r>
          </w:p>
        </w:tc>
      </w:tr>
      <w:tr w14:paraId="2D7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20" w:type="dxa"/>
            <w:noWrap w:val="0"/>
            <w:vAlign w:val="top"/>
          </w:tcPr>
          <w:p w14:paraId="38618069">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6A8CA00F">
            <w:pPr>
              <w:rPr>
                <w:rFonts w:ascii="宋体" w:hAnsi="宋体" w:cs="宋体"/>
                <w:color w:val="auto"/>
              </w:rPr>
            </w:pPr>
            <w:r>
              <w:rPr>
                <w:rFonts w:hint="eastAsia" w:ascii="宋体" w:hAnsi="宋体" w:cs="宋体"/>
                <w:color w:val="auto"/>
              </w:rPr>
              <w:t xml:space="preserve">应为专项服务小组领导人员 </w:t>
            </w:r>
          </w:p>
        </w:tc>
        <w:tc>
          <w:tcPr>
            <w:tcW w:w="2120" w:type="dxa"/>
            <w:noWrap w:val="0"/>
            <w:vAlign w:val="top"/>
          </w:tcPr>
          <w:p w14:paraId="5E154071">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479B2092">
            <w:pPr>
              <w:rPr>
                <w:rFonts w:ascii="宋体" w:hAnsi="宋体" w:cs="宋体"/>
                <w:color w:val="auto"/>
              </w:rPr>
            </w:pPr>
            <w:r>
              <w:rPr>
                <w:rFonts w:hint="eastAsia" w:ascii="宋体" w:hAnsi="宋体" w:cs="宋体"/>
                <w:color w:val="auto"/>
              </w:rPr>
              <w:t xml:space="preserve"> </w:t>
            </w:r>
          </w:p>
        </w:tc>
      </w:tr>
      <w:tr w14:paraId="35F8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120" w:type="dxa"/>
            <w:noWrap w:val="0"/>
            <w:vAlign w:val="top"/>
          </w:tcPr>
          <w:p w14:paraId="50AE6491">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1D1B9D04">
            <w:pPr>
              <w:rPr>
                <w:rFonts w:ascii="宋体" w:hAnsi="宋体" w:cs="宋体"/>
                <w:color w:val="auto"/>
              </w:rPr>
            </w:pPr>
            <w:r>
              <w:rPr>
                <w:rFonts w:hint="eastAsia" w:ascii="宋体" w:hAnsi="宋体" w:cs="宋体"/>
                <w:color w:val="auto"/>
              </w:rPr>
              <w:t xml:space="preserve">应为专项服务小组专项客服人员（至少1名，负责日常服务、参加评鉴会等） </w:t>
            </w:r>
          </w:p>
        </w:tc>
        <w:tc>
          <w:tcPr>
            <w:tcW w:w="2120" w:type="dxa"/>
            <w:noWrap w:val="0"/>
            <w:vAlign w:val="top"/>
          </w:tcPr>
          <w:p w14:paraId="2627245F">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5BCD5F04">
            <w:pPr>
              <w:rPr>
                <w:rFonts w:ascii="宋体" w:hAnsi="宋体" w:cs="宋体"/>
                <w:color w:val="auto"/>
              </w:rPr>
            </w:pPr>
            <w:r>
              <w:rPr>
                <w:rFonts w:hint="eastAsia" w:ascii="宋体" w:hAnsi="宋体" w:cs="宋体"/>
                <w:color w:val="auto"/>
              </w:rPr>
              <w:t xml:space="preserve"> </w:t>
            </w:r>
          </w:p>
        </w:tc>
      </w:tr>
      <w:tr w14:paraId="2B58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20" w:type="dxa"/>
            <w:noWrap w:val="0"/>
            <w:vAlign w:val="top"/>
          </w:tcPr>
          <w:p w14:paraId="6D4FB3D4">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1868D3D9">
            <w:pPr>
              <w:rPr>
                <w:rFonts w:ascii="宋体" w:hAnsi="宋体" w:cs="宋体"/>
                <w:color w:val="auto"/>
              </w:rPr>
            </w:pPr>
            <w:r>
              <w:rPr>
                <w:rFonts w:hint="eastAsia" w:ascii="宋体" w:hAnsi="宋体" w:cs="宋体"/>
                <w:color w:val="auto"/>
              </w:rPr>
              <w:t xml:space="preserve">现场服务人员（负责勘查等工作） </w:t>
            </w:r>
          </w:p>
        </w:tc>
        <w:tc>
          <w:tcPr>
            <w:tcW w:w="2120" w:type="dxa"/>
            <w:noWrap w:val="0"/>
            <w:vAlign w:val="top"/>
          </w:tcPr>
          <w:p w14:paraId="234B6A57">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5D214E4A">
            <w:pPr>
              <w:rPr>
                <w:rFonts w:ascii="宋体" w:hAnsi="宋体" w:cs="宋体"/>
                <w:color w:val="auto"/>
              </w:rPr>
            </w:pPr>
            <w:r>
              <w:rPr>
                <w:rFonts w:hint="eastAsia" w:ascii="宋体" w:hAnsi="宋体" w:cs="宋体"/>
                <w:color w:val="auto"/>
              </w:rPr>
              <w:t xml:space="preserve"> </w:t>
            </w:r>
          </w:p>
        </w:tc>
      </w:tr>
      <w:tr w14:paraId="1F52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20" w:type="dxa"/>
            <w:noWrap w:val="0"/>
            <w:vAlign w:val="top"/>
          </w:tcPr>
          <w:p w14:paraId="7B5B71F7">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53221812">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726DFAC1">
            <w:pPr>
              <w:rPr>
                <w:rFonts w:ascii="宋体" w:hAnsi="宋体" w:cs="宋体"/>
                <w:color w:val="auto"/>
              </w:rPr>
            </w:pPr>
            <w:r>
              <w:rPr>
                <w:rFonts w:hint="eastAsia" w:ascii="宋体" w:hAnsi="宋体" w:cs="宋体"/>
                <w:color w:val="auto"/>
              </w:rPr>
              <w:t xml:space="preserve"> </w:t>
            </w:r>
          </w:p>
        </w:tc>
        <w:tc>
          <w:tcPr>
            <w:tcW w:w="2120" w:type="dxa"/>
            <w:noWrap w:val="0"/>
            <w:vAlign w:val="top"/>
          </w:tcPr>
          <w:p w14:paraId="5342B037">
            <w:pPr>
              <w:rPr>
                <w:rFonts w:ascii="宋体" w:hAnsi="宋体" w:cs="宋体"/>
                <w:color w:val="auto"/>
              </w:rPr>
            </w:pPr>
            <w:r>
              <w:rPr>
                <w:rFonts w:hint="eastAsia" w:ascii="宋体" w:hAnsi="宋体" w:cs="宋体"/>
                <w:color w:val="auto"/>
              </w:rPr>
              <w:t xml:space="preserve"> </w:t>
            </w:r>
          </w:p>
        </w:tc>
      </w:tr>
    </w:tbl>
    <w:p w14:paraId="24F14766">
      <w:pPr>
        <w:tabs>
          <w:tab w:val="left" w:pos="1145"/>
        </w:tabs>
        <w:spacing w:line="360" w:lineRule="auto"/>
        <w:rPr>
          <w:rFonts w:ascii="宋体" w:hAnsi="宋体" w:cs="宋体"/>
          <w:color w:val="auto"/>
        </w:rPr>
      </w:pPr>
    </w:p>
    <w:p w14:paraId="3A79F864">
      <w:pPr>
        <w:tabs>
          <w:tab w:val="left" w:pos="420"/>
        </w:tabs>
        <w:spacing w:line="360" w:lineRule="auto"/>
        <w:ind w:firstLine="420" w:firstLineChars="200"/>
        <w:rPr>
          <w:rFonts w:ascii="宋体" w:hAnsi="宋体" w:cs="宋体"/>
          <w:color w:val="auto"/>
        </w:rPr>
      </w:pPr>
      <w:r>
        <w:rPr>
          <w:rFonts w:hint="eastAsia" w:ascii="宋体" w:hAnsi="宋体" w:cs="宋体"/>
          <w:color w:val="auto"/>
        </w:rPr>
        <w:t xml:space="preserve">1.2 协助被保险人建立医疗执业风险管理及防范制度 </w:t>
      </w:r>
    </w:p>
    <w:p w14:paraId="2C956BDF">
      <w:pPr>
        <w:tabs>
          <w:tab w:val="left" w:pos="1145"/>
        </w:tabs>
        <w:spacing w:line="360" w:lineRule="auto"/>
        <w:ind w:firstLine="420" w:firstLineChars="200"/>
        <w:rPr>
          <w:rFonts w:ascii="宋体" w:hAnsi="宋体" w:cs="宋体"/>
          <w:color w:val="auto"/>
        </w:rPr>
      </w:pPr>
      <w:r>
        <w:rPr>
          <w:rFonts w:hint="eastAsia" w:ascii="宋体" w:hAnsi="宋体" w:cs="宋体"/>
          <w:color w:val="auto"/>
        </w:rPr>
        <w:t>（1）医疗执业风险管理及防范制度</w:t>
      </w:r>
    </w:p>
    <w:p w14:paraId="07CD44A1">
      <w:pPr>
        <w:tabs>
          <w:tab w:val="left" w:pos="1145"/>
        </w:tabs>
        <w:spacing w:line="360" w:lineRule="auto"/>
        <w:ind w:firstLine="420" w:firstLineChars="200"/>
        <w:rPr>
          <w:rFonts w:hint="eastAsia" w:ascii="宋体" w:hAnsi="宋体"/>
          <w:szCs w:val="21"/>
        </w:rPr>
      </w:pPr>
      <w:r>
        <w:rPr>
          <w:rFonts w:hint="eastAsia" w:ascii="宋体" w:hAnsi="宋体"/>
          <w:szCs w:val="21"/>
        </w:rPr>
        <w:t>承保人应配合被保险人的医疗责任保险工作机制，对被保险人进行必要的风险防范服务，不定期和被保险人与保险经纪人举办研讨活动，共同探讨、总结保险及风险管理方面的经验，在保险期内，配合保险经纪人针对被保险人的风险情况，提出有针对性的防灾防损建议。承保保险公司需建立防灾防损基金（总保险费的</w:t>
      </w:r>
      <w:r>
        <w:rPr>
          <w:rFonts w:hint="eastAsia" w:ascii="宋体" w:hAnsi="宋体"/>
          <w:szCs w:val="21"/>
          <w:lang w:val="en-US" w:eastAsia="zh-CN"/>
        </w:rPr>
        <w:t>3</w:t>
      </w:r>
      <w:r>
        <w:rPr>
          <w:rFonts w:hint="eastAsia" w:ascii="宋体" w:hAnsi="宋体"/>
          <w:szCs w:val="21"/>
        </w:rPr>
        <w:t>%），定向用于被保险人防灾防损工作的组织和实施。防灾防损基金由承保人提取，在财政部规定使用范围内由保险经纪人统一组织用于为被保险人进行防灾防损的工作。若被保险人当年未使用或仅使用了部分防灾防损基金，则未使用部分的基金可累积使用。</w:t>
      </w:r>
    </w:p>
    <w:p w14:paraId="59595DF7">
      <w:pPr>
        <w:tabs>
          <w:tab w:val="left" w:pos="1145"/>
        </w:tabs>
        <w:spacing w:line="360" w:lineRule="auto"/>
        <w:ind w:firstLine="420" w:firstLineChars="200"/>
        <w:rPr>
          <w:rFonts w:ascii="宋体" w:hAnsi="宋体" w:cs="宋体"/>
          <w:color w:val="auto"/>
        </w:rPr>
      </w:pPr>
      <w:r>
        <w:rPr>
          <w:rFonts w:hint="eastAsia" w:ascii="宋体" w:hAnsi="宋体" w:cs="宋体"/>
          <w:color w:val="auto"/>
        </w:rPr>
        <w:t>（2）培训制度</w:t>
      </w:r>
    </w:p>
    <w:p w14:paraId="796865E3">
      <w:pPr>
        <w:tabs>
          <w:tab w:val="left" w:pos="1145"/>
        </w:tabs>
        <w:spacing w:line="360" w:lineRule="auto"/>
        <w:ind w:firstLine="420" w:firstLineChars="200"/>
        <w:rPr>
          <w:rFonts w:ascii="宋体" w:hAnsi="宋体" w:cs="宋体"/>
          <w:color w:val="auto"/>
        </w:rPr>
      </w:pPr>
      <w:r>
        <w:rPr>
          <w:rFonts w:hint="eastAsia" w:ascii="宋体" w:hAnsi="宋体" w:cs="宋体"/>
          <w:color w:val="auto"/>
        </w:rPr>
        <w:t>保险合同有效期内，承保人应协助保险经纪人为投保人/被保险人集中举办至少</w:t>
      </w:r>
      <w:r>
        <w:rPr>
          <w:rFonts w:hint="eastAsia" w:ascii="宋体" w:hAnsi="宋体" w:cs="宋体"/>
          <w:color w:val="auto"/>
          <w:lang w:eastAsia="zh-CN"/>
        </w:rPr>
        <w:t>一</w:t>
      </w:r>
      <w:r>
        <w:rPr>
          <w:rFonts w:hint="eastAsia" w:ascii="宋体" w:hAnsi="宋体" w:cs="宋体"/>
          <w:color w:val="auto"/>
        </w:rPr>
        <w:t>次保险和风险防范培训，以提高投保人/被保险人相关人员的保险与风险管理知识。培训计划由保险经纪股份有限公司、承保保险公司共同协商确定。</w:t>
      </w:r>
    </w:p>
    <w:p w14:paraId="62EED2AC">
      <w:pPr>
        <w:tabs>
          <w:tab w:val="left" w:pos="1145"/>
        </w:tabs>
        <w:spacing w:line="360" w:lineRule="auto"/>
        <w:ind w:firstLine="420" w:firstLineChars="200"/>
        <w:rPr>
          <w:rFonts w:ascii="宋体" w:hAnsi="宋体" w:cs="宋体"/>
          <w:color w:val="auto"/>
        </w:rPr>
      </w:pPr>
      <w:r>
        <w:rPr>
          <w:rFonts w:hint="eastAsia" w:ascii="宋体" w:hAnsi="宋体" w:cs="宋体"/>
          <w:color w:val="auto"/>
        </w:rPr>
        <w:t>1.3 承保与出单</w:t>
      </w:r>
    </w:p>
    <w:p w14:paraId="1FEC3C88">
      <w:pPr>
        <w:tabs>
          <w:tab w:val="left" w:pos="1145"/>
        </w:tabs>
        <w:spacing w:line="360" w:lineRule="auto"/>
        <w:rPr>
          <w:rFonts w:ascii="宋体" w:hAnsi="宋体" w:cs="宋体"/>
          <w:color w:val="auto"/>
        </w:rPr>
      </w:pPr>
      <w:r>
        <w:rPr>
          <w:rFonts w:hint="eastAsia" w:ascii="宋体" w:hAnsi="宋体" w:cs="宋体"/>
          <w:color w:val="auto"/>
        </w:rPr>
        <w:t xml:space="preserve">保险公司应配备客户服务专员及相应设备，协助保险经纪公司为投保人办理承保出单手续。 </w:t>
      </w:r>
    </w:p>
    <w:p w14:paraId="049718EE">
      <w:pPr>
        <w:tabs>
          <w:tab w:val="left" w:pos="1145"/>
        </w:tabs>
        <w:spacing w:line="360" w:lineRule="auto"/>
        <w:rPr>
          <w:rFonts w:ascii="宋体" w:hAnsi="宋体" w:cs="宋体"/>
          <w:color w:val="auto"/>
        </w:rPr>
      </w:pPr>
      <w:r>
        <w:rPr>
          <w:rFonts w:hint="eastAsia" w:ascii="宋体" w:hAnsi="宋体" w:cs="宋体"/>
          <w:color w:val="auto"/>
        </w:rPr>
        <w:t xml:space="preserve">2. 理赔服务 </w:t>
      </w:r>
    </w:p>
    <w:p w14:paraId="7861E39F">
      <w:pPr>
        <w:tabs>
          <w:tab w:val="left" w:pos="1145"/>
        </w:tabs>
        <w:spacing w:line="360" w:lineRule="auto"/>
        <w:ind w:firstLine="420" w:firstLineChars="200"/>
        <w:rPr>
          <w:rFonts w:ascii="宋体" w:hAnsi="宋体" w:cs="宋体"/>
          <w:color w:val="auto"/>
        </w:rPr>
      </w:pPr>
      <w:r>
        <w:rPr>
          <w:rFonts w:hint="eastAsia" w:ascii="宋体" w:hAnsi="宋体" w:cs="宋体"/>
          <w:color w:val="auto"/>
        </w:rPr>
        <w:t>2.1 理赔程序</w:t>
      </w:r>
    </w:p>
    <w:p w14:paraId="2591B541">
      <w:pPr>
        <w:tabs>
          <w:tab w:val="left" w:pos="1145"/>
        </w:tabs>
        <w:spacing w:line="360" w:lineRule="auto"/>
        <w:ind w:firstLine="420" w:firstLineChars="200"/>
        <w:rPr>
          <w:rFonts w:ascii="宋体" w:hAnsi="宋体" w:cs="宋体"/>
          <w:color w:val="auto"/>
        </w:rPr>
      </w:pPr>
      <w:r>
        <w:rPr>
          <w:rFonts w:hint="eastAsia" w:ascii="宋体" w:hAnsi="宋体" w:cs="宋体"/>
          <w:color w:val="auto"/>
        </w:rPr>
        <w:t>遵循本招标书需求保险保障方案中附件《医疗责任保险赔偿处理细则》及附件《保险索赔、理赔处理程序预案》。</w:t>
      </w:r>
    </w:p>
    <w:p w14:paraId="08451E1E">
      <w:pPr>
        <w:tabs>
          <w:tab w:val="left" w:pos="1145"/>
        </w:tabs>
        <w:spacing w:line="360" w:lineRule="auto"/>
        <w:ind w:firstLine="420" w:firstLineChars="200"/>
        <w:rPr>
          <w:rFonts w:ascii="宋体" w:hAnsi="宋体" w:cs="宋体"/>
          <w:color w:val="auto"/>
        </w:rPr>
      </w:pPr>
      <w:r>
        <w:rPr>
          <w:rFonts w:hint="eastAsia" w:ascii="宋体" w:hAnsi="宋体" w:cs="宋体"/>
          <w:color w:val="auto"/>
        </w:rPr>
        <w:t>2.2 理赔时效</w:t>
      </w:r>
    </w:p>
    <w:p w14:paraId="652FB7FA">
      <w:pPr>
        <w:tabs>
          <w:tab w:val="left" w:pos="1145"/>
        </w:tabs>
        <w:spacing w:line="360" w:lineRule="auto"/>
        <w:ind w:firstLine="420" w:firstLineChars="200"/>
        <w:rPr>
          <w:rFonts w:ascii="宋体" w:hAnsi="宋体" w:cs="宋体"/>
          <w:color w:val="auto"/>
        </w:rPr>
      </w:pPr>
      <w:r>
        <w:rPr>
          <w:rFonts w:hint="eastAsia" w:ascii="宋体" w:hAnsi="宋体" w:cs="宋体"/>
          <w:color w:val="auto"/>
        </w:rPr>
        <w:t>（1）快速理赔</w:t>
      </w:r>
    </w:p>
    <w:p w14:paraId="10C70CD7">
      <w:pPr>
        <w:tabs>
          <w:tab w:val="left" w:pos="1145"/>
        </w:tabs>
        <w:spacing w:line="360" w:lineRule="auto"/>
        <w:ind w:firstLine="420" w:firstLineChars="200"/>
        <w:rPr>
          <w:rFonts w:ascii="宋体" w:hAnsi="宋体" w:cs="宋体"/>
          <w:color w:val="auto"/>
        </w:rPr>
      </w:pPr>
      <w:r>
        <w:rPr>
          <w:rFonts w:hint="eastAsia" w:ascii="宋体" w:hAnsi="宋体" w:cs="宋体"/>
          <w:color w:val="auto"/>
        </w:rPr>
        <w:t>保险人特设案件分派系统，并匹配理赔专家，以最高效简洁的流程服务于被保险人。具体表现如下：</w:t>
      </w:r>
    </w:p>
    <w:p w14:paraId="21F67E5F">
      <w:pPr>
        <w:tabs>
          <w:tab w:val="left" w:pos="1145"/>
        </w:tabs>
        <w:spacing w:line="360" w:lineRule="auto"/>
        <w:ind w:firstLine="420" w:firstLineChars="200"/>
        <w:rPr>
          <w:rFonts w:ascii="宋体" w:hAnsi="宋体" w:cs="宋体"/>
          <w:color w:val="auto"/>
        </w:rPr>
      </w:pPr>
      <w:r>
        <w:rPr>
          <w:rFonts w:hint="eastAsia" w:ascii="宋体" w:hAnsi="宋体" w:cs="宋体"/>
          <w:color w:val="auto"/>
        </w:rPr>
        <w:t>发生保险责任范围内事故后，对事实清楚，法律责任明确，属于保险责任事故的医患纠纷案件，自保险人完成核赔，且与被保险人达成一致起，按下表所示承诺：</w:t>
      </w:r>
    </w:p>
    <w:p w14:paraId="55141F6B">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1.</w:t>
      </w:r>
      <w:r>
        <w:rPr>
          <w:rFonts w:hint="eastAsia" w:ascii="宋体" w:hAnsi="宋体" w:cs="宋体"/>
          <w:color w:val="auto"/>
        </w:rPr>
        <w:t>1万以下的赔案</w:t>
      </w:r>
      <w:r>
        <w:rPr>
          <w:rFonts w:hint="eastAsia" w:ascii="宋体" w:hAnsi="宋体" w:cs="宋体"/>
          <w:color w:val="auto"/>
          <w:lang w:eastAsia="zh-CN"/>
        </w:rPr>
        <w:t>（含</w:t>
      </w:r>
      <w:r>
        <w:rPr>
          <w:rFonts w:hint="eastAsia" w:ascii="宋体" w:hAnsi="宋体" w:cs="宋体"/>
          <w:color w:val="auto"/>
          <w:lang w:val="en-US" w:eastAsia="zh-CN"/>
        </w:rPr>
        <w:t>1万</w:t>
      </w:r>
      <w:r>
        <w:rPr>
          <w:rFonts w:hint="eastAsia" w:ascii="宋体" w:hAnsi="宋体" w:cs="宋体"/>
          <w:color w:val="auto"/>
          <w:lang w:eastAsia="zh-CN"/>
        </w:rPr>
        <w:t>）</w:t>
      </w:r>
      <w:r>
        <w:rPr>
          <w:rFonts w:hint="eastAsia" w:ascii="宋体" w:hAnsi="宋体" w:cs="宋体"/>
          <w:color w:val="auto"/>
        </w:rPr>
        <w:t>，3个工作日内作出赔付；</w:t>
      </w:r>
    </w:p>
    <w:p w14:paraId="1F6D3BC4">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2.</w:t>
      </w:r>
      <w:r>
        <w:rPr>
          <w:rFonts w:hint="eastAsia" w:ascii="宋体" w:hAnsi="宋体" w:cs="宋体"/>
          <w:color w:val="auto"/>
        </w:rPr>
        <w:t>5万以下的赔案</w:t>
      </w:r>
      <w:r>
        <w:rPr>
          <w:rFonts w:hint="eastAsia" w:ascii="宋体" w:hAnsi="宋体" w:cs="宋体"/>
          <w:color w:val="auto"/>
          <w:lang w:eastAsia="zh-CN"/>
        </w:rPr>
        <w:t>（含</w:t>
      </w:r>
      <w:r>
        <w:rPr>
          <w:rFonts w:hint="eastAsia" w:ascii="宋体" w:hAnsi="宋体" w:cs="宋体"/>
          <w:color w:val="auto"/>
          <w:lang w:val="en-US" w:eastAsia="zh-CN"/>
        </w:rPr>
        <w:t>5万</w:t>
      </w:r>
      <w:r>
        <w:rPr>
          <w:rFonts w:hint="eastAsia" w:ascii="宋体" w:hAnsi="宋体" w:cs="宋体"/>
          <w:color w:val="auto"/>
          <w:lang w:eastAsia="zh-CN"/>
        </w:rPr>
        <w:t>）</w:t>
      </w:r>
      <w:r>
        <w:rPr>
          <w:rFonts w:hint="eastAsia" w:ascii="宋体" w:hAnsi="宋体" w:cs="宋体"/>
          <w:color w:val="auto"/>
        </w:rPr>
        <w:t>，5个工作日内作出赔付；</w:t>
      </w:r>
    </w:p>
    <w:p w14:paraId="7A15A8D1">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3.</w:t>
      </w:r>
      <w:r>
        <w:rPr>
          <w:rFonts w:hint="eastAsia" w:ascii="宋体" w:hAnsi="宋体" w:cs="宋体"/>
          <w:color w:val="auto"/>
        </w:rPr>
        <w:t>20万以下的赔案</w:t>
      </w:r>
      <w:r>
        <w:rPr>
          <w:rFonts w:hint="eastAsia" w:ascii="宋体" w:hAnsi="宋体" w:cs="宋体"/>
          <w:color w:val="auto"/>
          <w:lang w:eastAsia="zh-CN"/>
        </w:rPr>
        <w:t>（含</w:t>
      </w:r>
      <w:r>
        <w:rPr>
          <w:rFonts w:hint="eastAsia" w:ascii="宋体" w:hAnsi="宋体" w:cs="宋体"/>
          <w:color w:val="auto"/>
          <w:lang w:val="en-US" w:eastAsia="zh-CN"/>
        </w:rPr>
        <w:t>20万</w:t>
      </w:r>
      <w:r>
        <w:rPr>
          <w:rFonts w:hint="eastAsia" w:ascii="宋体" w:hAnsi="宋体" w:cs="宋体"/>
          <w:color w:val="auto"/>
          <w:lang w:eastAsia="zh-CN"/>
        </w:rPr>
        <w:t>）</w:t>
      </w:r>
      <w:r>
        <w:rPr>
          <w:rFonts w:hint="eastAsia" w:ascii="宋体" w:hAnsi="宋体" w:cs="宋体"/>
          <w:color w:val="auto"/>
        </w:rPr>
        <w:t>，7个工作日内作出赔付；</w:t>
      </w:r>
    </w:p>
    <w:p w14:paraId="22B8F01B">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4.</w:t>
      </w:r>
      <w:r>
        <w:rPr>
          <w:rFonts w:hint="eastAsia" w:ascii="宋体" w:hAnsi="宋体" w:cs="宋体"/>
          <w:color w:val="auto"/>
        </w:rPr>
        <w:t>30万元以下的赔案</w:t>
      </w:r>
      <w:r>
        <w:rPr>
          <w:rFonts w:hint="eastAsia" w:ascii="宋体" w:hAnsi="宋体" w:cs="宋体"/>
          <w:color w:val="auto"/>
          <w:lang w:eastAsia="zh-CN"/>
        </w:rPr>
        <w:t>（含</w:t>
      </w:r>
      <w:r>
        <w:rPr>
          <w:rFonts w:hint="eastAsia" w:ascii="宋体" w:hAnsi="宋体" w:cs="宋体"/>
          <w:color w:val="auto"/>
          <w:lang w:val="en-US" w:eastAsia="zh-CN"/>
        </w:rPr>
        <w:t>30万</w:t>
      </w:r>
      <w:r>
        <w:rPr>
          <w:rFonts w:hint="eastAsia" w:ascii="宋体" w:hAnsi="宋体" w:cs="宋体"/>
          <w:color w:val="auto"/>
          <w:lang w:eastAsia="zh-CN"/>
        </w:rPr>
        <w:t>）</w:t>
      </w:r>
      <w:r>
        <w:rPr>
          <w:rFonts w:hint="eastAsia" w:ascii="宋体" w:hAnsi="宋体" w:cs="宋体"/>
          <w:color w:val="auto"/>
        </w:rPr>
        <w:t>在10个工作日内作出赔付；</w:t>
      </w:r>
    </w:p>
    <w:p w14:paraId="7F915199">
      <w:pPr>
        <w:tabs>
          <w:tab w:val="left" w:pos="1145"/>
        </w:tabs>
        <w:spacing w:line="360" w:lineRule="auto"/>
        <w:ind w:firstLine="420" w:firstLineChars="200"/>
        <w:rPr>
          <w:rFonts w:ascii="宋体" w:hAnsi="宋体" w:cs="宋体"/>
          <w:color w:val="auto"/>
        </w:rPr>
      </w:pPr>
      <w:r>
        <w:rPr>
          <w:rFonts w:hint="eastAsia" w:ascii="宋体" w:hAnsi="宋体" w:cs="宋体"/>
          <w:color w:val="auto"/>
        </w:rPr>
        <w:t xml:space="preserve">  </w:t>
      </w:r>
      <w:r>
        <w:rPr>
          <w:rFonts w:hint="eastAsia" w:ascii="宋体" w:hAnsi="宋体" w:cs="宋体"/>
          <w:color w:val="auto"/>
          <w:lang w:eastAsia="zh-CN"/>
        </w:rPr>
        <w:t>5.</w:t>
      </w:r>
      <w:r>
        <w:rPr>
          <w:rFonts w:hint="eastAsia" w:ascii="宋体" w:hAnsi="宋体" w:cs="宋体"/>
          <w:color w:val="auto"/>
        </w:rPr>
        <w:t>30万元以上的赔案在15个工作日内作出赔付。</w:t>
      </w:r>
    </w:p>
    <w:p w14:paraId="6C98A19B">
      <w:pPr>
        <w:tabs>
          <w:tab w:val="left" w:pos="1145"/>
        </w:tabs>
        <w:spacing w:line="360" w:lineRule="auto"/>
        <w:ind w:firstLine="420" w:firstLineChars="200"/>
        <w:rPr>
          <w:rFonts w:ascii="宋体" w:hAnsi="宋体" w:cs="宋体"/>
          <w:color w:val="auto"/>
        </w:rPr>
      </w:pPr>
      <w:r>
        <w:rPr>
          <w:rFonts w:hint="eastAsia" w:ascii="宋体" w:hAnsi="宋体" w:cs="宋体"/>
          <w:color w:val="auto"/>
        </w:rPr>
        <w:t>（2）核损时效制</w:t>
      </w:r>
    </w:p>
    <w:p w14:paraId="3EA857B7">
      <w:pPr>
        <w:tabs>
          <w:tab w:val="left" w:pos="1145"/>
        </w:tabs>
        <w:spacing w:line="360" w:lineRule="auto"/>
        <w:ind w:firstLine="420" w:firstLineChars="200"/>
        <w:rPr>
          <w:rFonts w:ascii="宋体" w:hAnsi="宋体" w:cs="宋体"/>
          <w:color w:val="auto"/>
        </w:rPr>
      </w:pPr>
      <w:r>
        <w:rPr>
          <w:rFonts w:hint="eastAsia" w:ascii="宋体" w:hAnsi="宋体" w:cs="宋体"/>
          <w:color w:val="auto"/>
        </w:rPr>
        <w:t>保险人在进行现场查勘后，就初步核损金额，在收到被保险人提交的完整索赔资料，经医调委评鉴或合议程序处理的，收到合议决定、调解协议书副本和相关材料后，在下述规定时间内作出理赔决定，以便快速理赔。</w:t>
      </w:r>
    </w:p>
    <w:p w14:paraId="71CD329B">
      <w:pPr>
        <w:tabs>
          <w:tab w:val="left" w:pos="1145"/>
        </w:tabs>
        <w:spacing w:line="360" w:lineRule="auto"/>
        <w:ind w:firstLine="420" w:firstLineChars="200"/>
        <w:rPr>
          <w:rFonts w:ascii="宋体" w:hAnsi="宋体" w:cs="宋体"/>
          <w:color w:val="auto"/>
        </w:rPr>
      </w:pPr>
      <w:r>
        <w:rPr>
          <w:rFonts w:hint="eastAsia" w:ascii="宋体" w:hAnsi="宋体" w:cs="宋体"/>
          <w:color w:val="auto"/>
          <w:lang w:eastAsia="zh-CN"/>
        </w:rPr>
        <w:t>1.</w:t>
      </w:r>
      <w:r>
        <w:rPr>
          <w:rFonts w:hint="eastAsia" w:ascii="宋体" w:hAnsi="宋体" w:cs="宋体"/>
          <w:color w:val="auto"/>
        </w:rPr>
        <w:t>索赔金额在人民币5万元（或等值外币）以下的，应在5个工作日内向被保险人提出异议，若在上述时间内未提出异议的，即视为双方就赔偿结果达成一致。</w:t>
      </w:r>
    </w:p>
    <w:p w14:paraId="445C6982">
      <w:pPr>
        <w:tabs>
          <w:tab w:val="left" w:pos="1145"/>
        </w:tabs>
        <w:spacing w:line="360" w:lineRule="auto"/>
        <w:ind w:firstLine="420" w:firstLineChars="200"/>
        <w:rPr>
          <w:rFonts w:ascii="宋体" w:hAnsi="宋体" w:cs="宋体"/>
          <w:color w:val="auto"/>
        </w:rPr>
      </w:pPr>
      <w:r>
        <w:rPr>
          <w:rFonts w:hint="eastAsia" w:ascii="宋体" w:hAnsi="宋体" w:cs="宋体"/>
          <w:color w:val="auto"/>
          <w:lang w:eastAsia="zh-CN"/>
        </w:rPr>
        <w:t>2.</w:t>
      </w:r>
      <w:r>
        <w:rPr>
          <w:rFonts w:hint="eastAsia" w:ascii="宋体" w:hAnsi="宋体" w:cs="宋体"/>
          <w:color w:val="auto"/>
        </w:rPr>
        <w:t>索赔金额在人民币30万元（或等值外币）以下的，应在7工作日内向被保险人提出异议，若在上述时间内未提出异议的，即视为双方就赔偿结果达成一致。</w:t>
      </w:r>
    </w:p>
    <w:p w14:paraId="5CAE7FAA">
      <w:pPr>
        <w:tabs>
          <w:tab w:val="left" w:pos="1145"/>
        </w:tabs>
        <w:spacing w:line="360" w:lineRule="auto"/>
        <w:ind w:firstLine="420" w:firstLineChars="200"/>
        <w:rPr>
          <w:rFonts w:ascii="宋体" w:hAnsi="宋体" w:cs="宋体"/>
          <w:color w:val="auto"/>
        </w:rPr>
      </w:pPr>
      <w:r>
        <w:rPr>
          <w:rFonts w:hint="eastAsia" w:ascii="宋体" w:hAnsi="宋体" w:cs="宋体"/>
          <w:color w:val="auto"/>
          <w:lang w:eastAsia="zh-CN"/>
        </w:rPr>
        <w:t>3.</w:t>
      </w:r>
      <w:r>
        <w:rPr>
          <w:rFonts w:hint="eastAsia" w:ascii="宋体" w:hAnsi="宋体" w:cs="宋体"/>
          <w:color w:val="auto"/>
        </w:rPr>
        <w:t>30万元以上的赔案（或等值外币）以上的，应在10工作日内向被保险人提出异议，若在上述时间内未提出异议的，即视为双方就赔偿结果达成一致。</w:t>
      </w:r>
    </w:p>
    <w:p w14:paraId="7F69A91C">
      <w:pPr>
        <w:tabs>
          <w:tab w:val="left" w:pos="1145"/>
        </w:tabs>
        <w:spacing w:line="360" w:lineRule="auto"/>
        <w:ind w:firstLine="420" w:firstLineChars="200"/>
        <w:rPr>
          <w:rFonts w:ascii="宋体" w:hAnsi="宋体" w:cs="宋体"/>
          <w:color w:val="auto"/>
        </w:rPr>
      </w:pPr>
      <w:r>
        <w:rPr>
          <w:rFonts w:hint="eastAsia" w:ascii="宋体" w:hAnsi="宋体" w:cs="宋体"/>
          <w:color w:val="auto"/>
        </w:rPr>
        <w:t>2.3 保险公估人服务</w:t>
      </w:r>
    </w:p>
    <w:p w14:paraId="45B8CA3A">
      <w:pPr>
        <w:tabs>
          <w:tab w:val="left" w:pos="1145"/>
        </w:tabs>
        <w:spacing w:line="360" w:lineRule="auto"/>
        <w:ind w:firstLine="420" w:firstLineChars="200"/>
        <w:rPr>
          <w:rFonts w:ascii="宋体" w:hAnsi="宋体" w:cs="宋体"/>
          <w:color w:val="auto"/>
        </w:rPr>
      </w:pPr>
      <w:r>
        <w:rPr>
          <w:rFonts w:hint="eastAsia" w:ascii="宋体" w:hAnsi="宋体" w:cs="宋体"/>
          <w:color w:val="auto"/>
        </w:rPr>
        <w:t>承保人承诺：本项目出险后：1、承保人如聘请公估人负责理赔，必须得到被保险人及保险经纪公司的认可；2、若出险后保险合同双方对于事故的保险责任和赔偿金额的认定不能达成一致时，应被保险人要求，应通过协商确定保险公估人，委请公估人的所有费用由承保人负担。在此情况下，赔案由公估人与承保人共同处理。承保人的主要任务是协助公估人工作，由公估人出具最终理算报告。</w:t>
      </w:r>
    </w:p>
    <w:p w14:paraId="285C7532">
      <w:pPr>
        <w:tabs>
          <w:tab w:val="left" w:pos="1145"/>
        </w:tabs>
        <w:spacing w:line="360" w:lineRule="auto"/>
        <w:ind w:firstLine="420" w:firstLineChars="200"/>
        <w:rPr>
          <w:rFonts w:ascii="宋体" w:hAnsi="宋体" w:cs="宋体"/>
          <w:color w:val="auto"/>
        </w:rPr>
      </w:pPr>
      <w:r>
        <w:rPr>
          <w:rFonts w:hint="eastAsia" w:ascii="宋体" w:hAnsi="宋体" w:cs="宋体"/>
          <w:color w:val="auto"/>
        </w:rPr>
        <w:t>2.4 定期提供理赔统计报表</w:t>
      </w:r>
    </w:p>
    <w:p w14:paraId="6B3415AE">
      <w:pPr>
        <w:tabs>
          <w:tab w:val="left" w:pos="1145"/>
        </w:tabs>
        <w:spacing w:line="360" w:lineRule="auto"/>
        <w:ind w:firstLine="420" w:firstLineChars="200"/>
        <w:rPr>
          <w:rFonts w:ascii="宋体" w:hAnsi="宋体" w:cs="宋体"/>
          <w:color w:val="auto"/>
        </w:rPr>
      </w:pPr>
      <w:r>
        <w:rPr>
          <w:rFonts w:hint="eastAsia" w:ascii="宋体" w:hAnsi="宋体" w:cs="宋体"/>
          <w:color w:val="auto"/>
        </w:rPr>
        <w:t>承保人应于每季度最后一个月的15日前向被保险人及保险经纪人提供理赔统计报表，报表应包括损失发生的时间、地点、损失原因、估损金额、定损金额、赔款等与赔案处理有关的信息。</w:t>
      </w:r>
    </w:p>
    <w:p w14:paraId="0EB6B4B4">
      <w:pPr>
        <w:tabs>
          <w:tab w:val="left" w:pos="1145"/>
        </w:tabs>
        <w:spacing w:line="360" w:lineRule="auto"/>
        <w:ind w:firstLine="420" w:firstLineChars="200"/>
        <w:rPr>
          <w:rFonts w:ascii="宋体" w:hAnsi="宋体" w:cs="宋体"/>
          <w:color w:val="auto"/>
        </w:rPr>
      </w:pPr>
      <w:r>
        <w:rPr>
          <w:rFonts w:hint="eastAsia" w:ascii="宋体" w:hAnsi="宋体" w:cs="宋体"/>
          <w:color w:val="auto"/>
        </w:rPr>
        <w:t>2.5 保险理赔主要单证说明</w:t>
      </w:r>
    </w:p>
    <w:p w14:paraId="2D850F67">
      <w:pPr>
        <w:tabs>
          <w:tab w:val="left" w:pos="1145"/>
        </w:tabs>
        <w:spacing w:line="360" w:lineRule="auto"/>
        <w:ind w:firstLine="420" w:firstLineChars="200"/>
        <w:rPr>
          <w:rFonts w:hint="eastAsia" w:ascii="宋体" w:hAnsi="宋体" w:cs="宋体"/>
          <w:color w:val="auto"/>
        </w:rPr>
      </w:pPr>
      <w:r>
        <w:rPr>
          <w:rFonts w:hint="eastAsia" w:ascii="宋体" w:hAnsi="宋体" w:cs="宋体"/>
          <w:color w:val="auto"/>
        </w:rPr>
        <w:t xml:space="preserve">承保人应本着高效解决医疗纠纷、优化理赔流程的原则，办理理赔事宜。具体理赔单证的提供以《广东省医疗责任保险赔偿处理办法（暂行）》以及《保险索赔、理赔处理程序预案》的约定为准。 </w:t>
      </w:r>
    </w:p>
    <w:p w14:paraId="4ED5FE7A">
      <w:pPr>
        <w:pStyle w:val="30"/>
      </w:pPr>
    </w:p>
    <w:p w14:paraId="55790B18">
      <w:pPr>
        <w:tabs>
          <w:tab w:val="left" w:pos="1145"/>
        </w:tabs>
        <w:spacing w:line="360" w:lineRule="auto"/>
        <w:rPr>
          <w:rFonts w:hint="eastAsia" w:eastAsia="宋体"/>
          <w:b/>
          <w:color w:val="auto"/>
          <w:u w:val="single"/>
          <w:lang w:eastAsia="zh-CN"/>
        </w:rPr>
      </w:pPr>
      <w:r>
        <w:rPr>
          <w:rFonts w:hint="eastAsia"/>
          <w:b/>
          <w:color w:val="auto"/>
          <w:u w:val="single"/>
          <w:lang w:eastAsia="zh-CN"/>
        </w:rPr>
        <w:t>八</w:t>
      </w:r>
      <w:r>
        <w:rPr>
          <w:rFonts w:hint="eastAsia"/>
          <w:b/>
          <w:color w:val="auto"/>
          <w:u w:val="single"/>
        </w:rPr>
        <w:t xml:space="preserve">★其他要求 </w:t>
      </w:r>
      <w:r>
        <w:rPr>
          <w:rFonts w:hint="eastAsia"/>
          <w:b/>
          <w:color w:val="auto"/>
          <w:u w:val="single"/>
          <w:lang w:eastAsia="zh-CN"/>
        </w:rPr>
        <w:t>：</w:t>
      </w:r>
    </w:p>
    <w:p w14:paraId="3B78252C">
      <w:pPr>
        <w:pStyle w:val="7"/>
        <w:numPr>
          <w:ilvl w:val="0"/>
          <w:numId w:val="13"/>
        </w:numPr>
        <w:spacing w:after="0" w:line="360" w:lineRule="auto"/>
        <w:ind w:left="0" w:leftChars="0" w:firstLine="422" w:firstLineChars="200"/>
        <w:rPr>
          <w:rFonts w:hint="eastAsia" w:ascii="宋体" w:hAnsi="宋体"/>
          <w:b/>
          <w:bCs/>
          <w:sz w:val="21"/>
          <w:szCs w:val="13"/>
        </w:rPr>
      </w:pPr>
      <w:r>
        <w:rPr>
          <w:rFonts w:hint="eastAsia" w:ascii="宋体" w:hAnsi="宋体"/>
          <w:b/>
          <w:bCs/>
          <w:sz w:val="21"/>
          <w:szCs w:val="13"/>
          <w:lang w:val="en-US" w:eastAsia="zh-CN"/>
        </w:rPr>
        <w:t>供应商</w:t>
      </w:r>
      <w:r>
        <w:rPr>
          <w:rFonts w:hint="eastAsia" w:ascii="宋体" w:hAnsi="宋体"/>
          <w:b/>
          <w:bCs/>
          <w:sz w:val="21"/>
          <w:szCs w:val="13"/>
        </w:rPr>
        <w:t>及最终确定的承保人尊重保险经纪股份有限公司代表采购人所提涉保要求，尊重其所发挥的督促、协调作用，并认为保险经纪人能为保险双方的顺利合作起到应有的积极作用；</w:t>
      </w:r>
      <w:r>
        <w:rPr>
          <w:rFonts w:hint="eastAsia" w:ascii="宋体" w:hAnsi="宋体"/>
          <w:b/>
          <w:bCs/>
          <w:sz w:val="21"/>
          <w:szCs w:val="13"/>
          <w:lang w:val="en-US" w:eastAsia="zh-CN"/>
        </w:rPr>
        <w:t>供应商</w:t>
      </w:r>
      <w:r>
        <w:rPr>
          <w:rFonts w:hint="eastAsia" w:ascii="宋体" w:hAnsi="宋体"/>
          <w:b/>
          <w:bCs/>
          <w:sz w:val="21"/>
          <w:szCs w:val="13"/>
        </w:rPr>
        <w:t>与保险经纪人之间的权责、义务等由保险经纪人与之签订。</w:t>
      </w:r>
    </w:p>
    <w:p w14:paraId="1EF311AF">
      <w:pPr>
        <w:pStyle w:val="7"/>
        <w:numPr>
          <w:ilvl w:val="0"/>
          <w:numId w:val="13"/>
        </w:numPr>
        <w:spacing w:after="0" w:line="360" w:lineRule="auto"/>
        <w:ind w:left="0" w:leftChars="0" w:firstLine="422" w:firstLineChars="200"/>
        <w:rPr>
          <w:rFonts w:ascii="宋体" w:hAnsi="宋体"/>
          <w:b/>
          <w:bCs/>
          <w:sz w:val="21"/>
          <w:szCs w:val="13"/>
        </w:rPr>
      </w:pPr>
      <w:r>
        <w:rPr>
          <w:rFonts w:hint="eastAsia" w:ascii="宋体" w:hAnsi="宋体"/>
          <w:b/>
          <w:bCs/>
          <w:sz w:val="21"/>
          <w:szCs w:val="13"/>
        </w:rPr>
        <w:t>本项目接受中标单位按照中国保险监督管理委员会《关于加强财产保险共保业务管理的通知》要求安排共保及再保，但中标单位必须作为主承保人负责承保、理赔服务，不得将承保、理赔服务分配其他参与共保公司服务。</w:t>
      </w:r>
    </w:p>
    <w:p w14:paraId="0223F1CF">
      <w:pPr>
        <w:pStyle w:val="13"/>
      </w:pPr>
    </w:p>
    <w:p w14:paraId="45B95927">
      <w:r>
        <w:br w:type="page"/>
      </w:r>
    </w:p>
    <w:p w14:paraId="20196F78">
      <w:pPr>
        <w:pStyle w:val="13"/>
      </w:pPr>
    </w:p>
    <w:p w14:paraId="289AB7B7">
      <w:pPr>
        <w:pStyle w:val="13"/>
        <w:jc w:val="center"/>
        <w:outlineLvl w:val="0"/>
      </w:pPr>
      <w:r>
        <w:rPr>
          <w:rFonts w:hint="eastAsia"/>
          <w:b/>
          <w:sz w:val="48"/>
          <w:lang w:eastAsia="zh-CN"/>
        </w:rPr>
        <w:t>磋商文件</w:t>
      </w:r>
      <w:r>
        <w:rPr>
          <w:b/>
          <w:sz w:val="48"/>
        </w:rPr>
        <w:t>封面</w:t>
      </w:r>
    </w:p>
    <w:p w14:paraId="7CD5196B">
      <w:pPr>
        <w:pStyle w:val="13"/>
        <w:jc w:val="center"/>
        <w:outlineLvl w:val="0"/>
      </w:pPr>
      <w:r>
        <w:rPr>
          <w:b/>
          <w:sz w:val="48"/>
        </w:rPr>
        <w:t>（项目名称）</w:t>
      </w:r>
    </w:p>
    <w:p w14:paraId="013B7240">
      <w:pPr>
        <w:pStyle w:val="13"/>
        <w:jc w:val="center"/>
        <w:outlineLvl w:val="0"/>
      </w:pPr>
      <w:r>
        <w:rPr>
          <w:rFonts w:hint="eastAsia"/>
          <w:b/>
          <w:sz w:val="48"/>
          <w:lang w:eastAsia="zh-CN"/>
        </w:rPr>
        <w:t>磋商文件</w:t>
      </w:r>
      <w:r>
        <w:rPr>
          <w:b/>
          <w:sz w:val="48"/>
        </w:rPr>
        <w:t>封面</w:t>
      </w:r>
    </w:p>
    <w:p w14:paraId="7415E4C9">
      <w:pPr>
        <w:pStyle w:val="13"/>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B76B78A">
      <w:pPr>
        <w:pStyle w:val="13"/>
        <w:jc w:val="center"/>
        <w:outlineLvl w:val="3"/>
      </w:pPr>
      <w:r>
        <w:rPr>
          <w:b/>
          <w:sz w:val="24"/>
        </w:rPr>
        <w:t>（投标人名称）</w:t>
      </w:r>
    </w:p>
    <w:p w14:paraId="4AAC266F">
      <w:pPr>
        <w:pStyle w:val="13"/>
        <w:jc w:val="center"/>
        <w:outlineLvl w:val="3"/>
      </w:pPr>
      <w:r>
        <w:rPr>
          <w:b/>
          <w:sz w:val="24"/>
        </w:rPr>
        <w:t xml:space="preserve"> 年 月 日</w:t>
      </w:r>
    </w:p>
    <w:p w14:paraId="7A374C9D">
      <w:r>
        <w:br w:type="page"/>
      </w:r>
    </w:p>
    <w:p w14:paraId="542BFAA2">
      <w:pPr>
        <w:pStyle w:val="13"/>
        <w:ind w:firstLine="480"/>
      </w:pPr>
    </w:p>
    <w:p w14:paraId="1A7B544B">
      <w:pPr>
        <w:pStyle w:val="13"/>
        <w:jc w:val="center"/>
        <w:outlineLvl w:val="3"/>
      </w:pPr>
      <w:r>
        <w:rPr>
          <w:rFonts w:hint="eastAsia"/>
          <w:b/>
          <w:sz w:val="24"/>
          <w:lang w:eastAsia="zh-CN"/>
        </w:rPr>
        <w:t>磋商文件</w:t>
      </w:r>
      <w:r>
        <w:rPr>
          <w:b/>
          <w:sz w:val="24"/>
        </w:rPr>
        <w:t>目录</w:t>
      </w:r>
    </w:p>
    <w:p w14:paraId="16EAC6E4">
      <w:pPr>
        <w:pStyle w:val="13"/>
        <w:ind w:firstLine="480"/>
      </w:pPr>
      <w:r>
        <w:t>一、投标函</w:t>
      </w:r>
    </w:p>
    <w:p w14:paraId="53EEEB6B">
      <w:pPr>
        <w:pStyle w:val="13"/>
        <w:ind w:firstLine="480"/>
      </w:pPr>
      <w:r>
        <w:t>二、开标一览表</w:t>
      </w:r>
    </w:p>
    <w:p w14:paraId="2BF5E14C">
      <w:pPr>
        <w:pStyle w:val="13"/>
        <w:ind w:firstLine="480"/>
      </w:pPr>
      <w:r>
        <w:t>三、报价表</w:t>
      </w:r>
    </w:p>
    <w:p w14:paraId="5ACBC693">
      <w:pPr>
        <w:pStyle w:val="13"/>
        <w:ind w:firstLine="480"/>
        <w:rPr>
          <w:rFonts w:hint="eastAsia" w:eastAsiaTheme="minorEastAsia"/>
          <w:lang w:eastAsia="zh-CN"/>
        </w:rPr>
      </w:pPr>
      <w:r>
        <w:t>四</w:t>
      </w:r>
      <w:r>
        <w:rPr>
          <w:rFonts w:hint="eastAsia"/>
          <w:lang w:eastAsia="zh-CN"/>
        </w:rPr>
        <w:t>、</w:t>
      </w:r>
      <w:r>
        <w:t>法定代表人证明书</w:t>
      </w:r>
    </w:p>
    <w:p w14:paraId="122372A8">
      <w:pPr>
        <w:pStyle w:val="13"/>
        <w:ind w:firstLine="480"/>
      </w:pPr>
      <w:r>
        <w:t>五、法定代表人授权书</w:t>
      </w:r>
    </w:p>
    <w:p w14:paraId="60AE930C">
      <w:pPr>
        <w:pStyle w:val="13"/>
        <w:ind w:firstLine="480"/>
      </w:pPr>
      <w:r>
        <w:t>六、提供具有独立承担民事责任的能力的证明材料</w:t>
      </w:r>
    </w:p>
    <w:p w14:paraId="73DFD430">
      <w:pPr>
        <w:pStyle w:val="13"/>
        <w:ind w:firstLine="480"/>
      </w:pPr>
      <w:r>
        <w:t>七、资格性审查要求的其他资质证明文件</w:t>
      </w:r>
    </w:p>
    <w:p w14:paraId="06A91352">
      <w:pPr>
        <w:pStyle w:val="13"/>
        <w:ind w:firstLine="480"/>
      </w:pPr>
      <w:r>
        <w:t>八、承诺函</w:t>
      </w:r>
    </w:p>
    <w:p w14:paraId="226EDDDC">
      <w:pPr>
        <w:pStyle w:val="13"/>
        <w:ind w:firstLine="480"/>
      </w:pPr>
      <w:r>
        <w:t>九、投标人业绩情况表</w:t>
      </w:r>
    </w:p>
    <w:p w14:paraId="76885FA8">
      <w:pPr>
        <w:pStyle w:val="13"/>
        <w:ind w:firstLine="480"/>
      </w:pPr>
      <w:r>
        <w:t>十、技术和服务要求响应表</w:t>
      </w:r>
    </w:p>
    <w:p w14:paraId="7C3078E4">
      <w:pPr>
        <w:pStyle w:val="13"/>
        <w:ind w:firstLine="480"/>
      </w:pPr>
      <w:r>
        <w:t>十</w:t>
      </w:r>
      <w:r>
        <w:rPr>
          <w:rFonts w:hint="eastAsia"/>
          <w:lang w:val="en-US" w:eastAsia="zh-CN"/>
        </w:rPr>
        <w:t>一</w:t>
      </w:r>
      <w:r>
        <w:t>、商务条件响应表</w:t>
      </w:r>
    </w:p>
    <w:p w14:paraId="08F56698">
      <w:pPr>
        <w:pStyle w:val="13"/>
        <w:ind w:firstLine="480"/>
      </w:pPr>
      <w:r>
        <w:t>十</w:t>
      </w:r>
      <w:r>
        <w:rPr>
          <w:rFonts w:hint="eastAsia"/>
          <w:lang w:val="en-US" w:eastAsia="zh-CN"/>
        </w:rPr>
        <w:t>二</w:t>
      </w:r>
      <w:r>
        <w:t>、履约进度计划表</w:t>
      </w:r>
    </w:p>
    <w:p w14:paraId="772AF003">
      <w:pPr>
        <w:pStyle w:val="13"/>
        <w:ind w:firstLine="480"/>
      </w:pPr>
      <w:r>
        <w:t>十</w:t>
      </w:r>
      <w:r>
        <w:rPr>
          <w:rFonts w:hint="eastAsia"/>
          <w:lang w:val="en-US" w:eastAsia="zh-CN"/>
        </w:rPr>
        <w:t>三</w:t>
      </w:r>
      <w:r>
        <w:t>、各类证明材料</w:t>
      </w:r>
    </w:p>
    <w:p w14:paraId="3C33E3F3">
      <w:pPr>
        <w:pStyle w:val="13"/>
        <w:ind w:firstLine="480"/>
      </w:pPr>
      <w:r>
        <w:t>十</w:t>
      </w:r>
      <w:r>
        <w:rPr>
          <w:rFonts w:hint="eastAsia"/>
          <w:lang w:val="en-US" w:eastAsia="zh-CN"/>
        </w:rPr>
        <w:t>四</w:t>
      </w:r>
      <w:r>
        <w:t>、需要采购人提供的附加条件</w:t>
      </w:r>
    </w:p>
    <w:p w14:paraId="1E8937C2">
      <w:pPr>
        <w:pStyle w:val="13"/>
        <w:ind w:firstLine="480"/>
      </w:pPr>
      <w:r>
        <w:rPr>
          <w:rFonts w:hint="eastAsia"/>
          <w:lang w:val="en-US" w:eastAsia="zh-CN"/>
        </w:rPr>
        <w:t>十五</w:t>
      </w:r>
      <w:r>
        <w:t>、询问函、质疑函、投诉书格式</w:t>
      </w:r>
    </w:p>
    <w:p w14:paraId="4A47C5A1">
      <w:pPr>
        <w:pStyle w:val="13"/>
        <w:ind w:firstLine="480"/>
      </w:pPr>
      <w:r>
        <w:rPr>
          <w:rFonts w:hint="eastAsia"/>
          <w:lang w:val="en-US" w:eastAsia="zh-CN"/>
        </w:rPr>
        <w:t>十六</w:t>
      </w:r>
      <w:r>
        <w:t>、项目实施方案、质量保证及售后服务承诺等</w:t>
      </w:r>
    </w:p>
    <w:p w14:paraId="02631D5B">
      <w:pPr>
        <w:pStyle w:val="13"/>
        <w:ind w:firstLine="480"/>
      </w:pPr>
      <w:r>
        <w:rPr>
          <w:rFonts w:hint="eastAsia"/>
          <w:lang w:val="en-US" w:eastAsia="zh-CN"/>
        </w:rPr>
        <w:t>十七</w:t>
      </w:r>
      <w:r>
        <w:t>、附件</w:t>
      </w:r>
    </w:p>
    <w:p w14:paraId="795F8A87">
      <w:pPr>
        <w:pStyle w:val="13"/>
        <w:ind w:firstLine="480"/>
      </w:pPr>
      <w:r>
        <w:t xml:space="preserve">  </w:t>
      </w:r>
    </w:p>
    <w:p w14:paraId="6F108C50">
      <w:pPr>
        <w:pStyle w:val="13"/>
        <w:pageBreakBefore/>
        <w:outlineLvl w:val="2"/>
      </w:pPr>
      <w:r>
        <w:rPr>
          <w:b/>
          <w:sz w:val="28"/>
        </w:rPr>
        <w:t>格式一：</w:t>
      </w:r>
    </w:p>
    <w:p w14:paraId="138B3B53">
      <w:pPr>
        <w:pStyle w:val="13"/>
        <w:outlineLvl w:val="3"/>
      </w:pPr>
      <w:r>
        <w:rPr>
          <w:b/>
          <w:sz w:val="24"/>
        </w:rPr>
        <w:t>投标函</w:t>
      </w:r>
    </w:p>
    <w:p w14:paraId="0A8E2A9E">
      <w:pPr>
        <w:pStyle w:val="13"/>
        <w:ind w:firstLine="480"/>
        <w:rPr>
          <w:rFonts w:hint="eastAsia" w:eastAsiaTheme="minorEastAsia"/>
          <w:lang w:val="en-US" w:eastAsia="zh-CN"/>
        </w:rPr>
      </w:pPr>
      <w:r>
        <w:t>致：</w:t>
      </w:r>
      <w:r>
        <w:rPr>
          <w:rFonts w:hint="eastAsia"/>
          <w:u w:val="single"/>
          <w:lang w:eastAsia="zh-CN"/>
        </w:rPr>
        <w:t>广东省生殖科学研究所（广东省生殖医院）</w:t>
      </w:r>
    </w:p>
    <w:p w14:paraId="4D643E0F">
      <w:pPr>
        <w:pStyle w:val="13"/>
        <w:ind w:firstLine="480"/>
      </w:pPr>
      <w:r>
        <w:t>你方组织的</w:t>
      </w:r>
      <w:r>
        <w:rPr>
          <w:u w:val="single"/>
        </w:rPr>
        <w:t>“</w:t>
      </w:r>
      <w:r>
        <w:rPr>
          <w:rFonts w:hint="eastAsia"/>
          <w:u w:val="single"/>
          <w:lang w:eastAsia="zh-CN"/>
        </w:rPr>
        <w:t>广东省生殖科学研究所（广东省生殖医院）</w:t>
      </w:r>
      <w:r>
        <w:rPr>
          <w:rFonts w:hint="eastAsia"/>
          <w:u w:val="single"/>
          <w:lang w:val="en-US" w:eastAsia="zh-CN"/>
        </w:rPr>
        <w:t>2025年</w:t>
      </w:r>
      <w:r>
        <w:rPr>
          <w:rFonts w:hint="eastAsia"/>
          <w:u w:val="single"/>
          <w:lang w:eastAsia="zh-CN"/>
        </w:rPr>
        <w:t>医疗责任保险</w:t>
      </w:r>
      <w:r>
        <w:rPr>
          <w:rFonts w:hint="eastAsia"/>
          <w:u w:val="single"/>
          <w:lang w:val="en-US" w:eastAsia="zh-CN"/>
        </w:rPr>
        <w:t>服务采购</w:t>
      </w:r>
      <w:r>
        <w:rPr>
          <w:u w:val="single"/>
        </w:rPr>
        <w:t>”</w:t>
      </w:r>
      <w:r>
        <w:t>项目的招标，我方愿参与投标。</w:t>
      </w:r>
    </w:p>
    <w:p w14:paraId="5A314304">
      <w:pPr>
        <w:pStyle w:val="13"/>
        <w:ind w:firstLine="480"/>
      </w:pPr>
      <w:r>
        <w:t>我方确认收到贵方提供的</w:t>
      </w:r>
      <w:r>
        <w:rPr>
          <w:u w:val="single"/>
        </w:rPr>
        <w:t>“</w:t>
      </w:r>
      <w:r>
        <w:rPr>
          <w:rFonts w:hint="eastAsia"/>
          <w:u w:val="single"/>
          <w:lang w:eastAsia="zh-CN"/>
        </w:rPr>
        <w:t>广东省生殖科学研究所（广东省生殖医院）</w:t>
      </w:r>
      <w:r>
        <w:rPr>
          <w:rFonts w:hint="eastAsia"/>
          <w:u w:val="single"/>
          <w:lang w:val="en-US" w:eastAsia="zh-CN"/>
        </w:rPr>
        <w:t>2025年</w:t>
      </w:r>
      <w:r>
        <w:rPr>
          <w:rFonts w:hint="eastAsia"/>
          <w:u w:val="single"/>
          <w:lang w:eastAsia="zh-CN"/>
        </w:rPr>
        <w:t>医疗责任保险</w:t>
      </w:r>
      <w:r>
        <w:rPr>
          <w:rFonts w:hint="eastAsia"/>
          <w:u w:val="single"/>
          <w:lang w:val="en-US" w:eastAsia="zh-CN"/>
        </w:rPr>
        <w:t>服务采购</w:t>
      </w:r>
      <w:r>
        <w:rPr>
          <w:u w:val="single"/>
        </w:rPr>
        <w:t>”</w:t>
      </w:r>
      <w:r>
        <w:t>项目的招标文件的全部内容。</w:t>
      </w:r>
    </w:p>
    <w:p w14:paraId="335618F5">
      <w:pPr>
        <w:pStyle w:val="13"/>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5B751C32">
      <w:pPr>
        <w:pStyle w:val="13"/>
        <w:ind w:firstLine="480"/>
      </w:pPr>
      <w:r>
        <w:rPr>
          <w:rFonts w:hint="eastAsia"/>
          <w:u w:val="single"/>
          <w:lang w:eastAsia="zh-CN"/>
        </w:rPr>
        <w:t>（</w:t>
      </w:r>
      <w:r>
        <w:rPr>
          <w:u w:val="single"/>
        </w:rPr>
        <w:t>投标人名称</w:t>
      </w:r>
      <w:r>
        <w:rPr>
          <w:rFonts w:hint="eastAsia"/>
          <w:u w:val="single"/>
          <w:lang w:eastAsia="zh-CN"/>
        </w:rPr>
        <w:t>）</w:t>
      </w:r>
      <w:r>
        <w:t>作为投标人正式授权</w:t>
      </w:r>
      <w:r>
        <w:rPr>
          <w:rFonts w:hint="eastAsia"/>
          <w:lang w:eastAsia="zh-CN"/>
        </w:rPr>
        <w:t>（</w:t>
      </w:r>
      <w:r>
        <w:rPr>
          <w:u w:val="single"/>
        </w:rPr>
        <w:t>授权代表全名</w:t>
      </w:r>
      <w:r>
        <w:rPr>
          <w:rFonts w:hint="eastAsia"/>
          <w:u w:val="single"/>
          <w:lang w:eastAsia="zh-CN"/>
        </w:rPr>
        <w:t>，</w:t>
      </w:r>
      <w:r>
        <w:rPr>
          <w:u w:val="single"/>
        </w:rPr>
        <w:t>职务</w:t>
      </w:r>
      <w:r>
        <w:rPr>
          <w:rFonts w:hint="eastAsia"/>
          <w:u w:val="single"/>
          <w:lang w:eastAsia="zh-CN"/>
        </w:rPr>
        <w:t>）</w:t>
      </w:r>
      <w:r>
        <w:t>代表我方全权处理有关</w:t>
      </w:r>
      <w:r>
        <w:rPr>
          <w:rFonts w:hint="eastAsia"/>
          <w:lang w:eastAsia="zh-CN"/>
        </w:rPr>
        <w:t>本次</w:t>
      </w:r>
      <w:r>
        <w:t>投标的一切事宜。</w:t>
      </w:r>
    </w:p>
    <w:p w14:paraId="2BBEE066">
      <w:pPr>
        <w:pStyle w:val="13"/>
        <w:ind w:firstLine="480"/>
      </w:pPr>
      <w:r>
        <w:t>我方已完全明白招标文件的所有条款要求，并申明如下：</w:t>
      </w:r>
    </w:p>
    <w:p w14:paraId="36DBE3E7">
      <w:pPr>
        <w:pStyle w:val="13"/>
        <w:ind w:firstLine="480"/>
      </w:pPr>
      <w:r>
        <w:t>（一）按招标文件提供的全部货物（工程、服务）的投标总价详见《开标一览表》。</w:t>
      </w:r>
    </w:p>
    <w:p w14:paraId="6E5A4B0F">
      <w:pPr>
        <w:pStyle w:val="13"/>
        <w:ind w:firstLine="480"/>
      </w:pPr>
      <w:r>
        <w:t>（二）本</w:t>
      </w:r>
      <w:r>
        <w:rPr>
          <w:rFonts w:hint="eastAsia"/>
          <w:lang w:eastAsia="zh-CN"/>
        </w:rPr>
        <w:t>磋商文件</w:t>
      </w:r>
      <w:r>
        <w:t>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AE27C27">
      <w:pPr>
        <w:pStyle w:val="13"/>
        <w:ind w:firstLine="480"/>
      </w:pPr>
      <w:r>
        <w:t>（三）我方明白并同意，在规定的开标日之后，投标有效期之内撤回投标或中标后不按规定与采购人签订合同或不提交履约保证金</w:t>
      </w:r>
      <w:r>
        <w:rPr>
          <w:rFonts w:hint="eastAsia"/>
          <w:lang w:eastAsia="zh-CN"/>
        </w:rPr>
        <w:t>，</w:t>
      </w:r>
      <w:r>
        <w:t xml:space="preserve"> 则贵方将不予退还投标保证金。</w:t>
      </w:r>
    </w:p>
    <w:p w14:paraId="2207F6C2">
      <w:pPr>
        <w:pStyle w:val="13"/>
        <w:ind w:firstLine="480"/>
      </w:pPr>
      <w:r>
        <w:t>（四）我方愿意向贵方提供任何与本项报价有关的数据、情况和技术资料。若贵方需要，我方愿意提供我方作出的一切承诺的证明材料。</w:t>
      </w:r>
    </w:p>
    <w:p w14:paraId="7803325F">
      <w:pPr>
        <w:pStyle w:val="13"/>
        <w:ind w:firstLine="480"/>
      </w:pPr>
      <w:r>
        <w:t>（五）我方理解贵方不一定接受最低投标价或任何贵方可能收到的投标。</w:t>
      </w:r>
    </w:p>
    <w:p w14:paraId="6850A4B5">
      <w:pPr>
        <w:pStyle w:val="13"/>
        <w:ind w:firstLine="480"/>
      </w:pPr>
      <w:r>
        <w:t>（六）我方如果中标，将保证履行招标文件及其澄清、修改文件（如果有）中的全部责任和义务，按质、按量、按期完成《采购需求》及《合同书》中的全部任务。</w:t>
      </w:r>
    </w:p>
    <w:p w14:paraId="56E3A6CD">
      <w:pPr>
        <w:pStyle w:val="13"/>
        <w:ind w:firstLine="480"/>
      </w:pPr>
      <w:r>
        <w:t>（七）我方作为法律、财务和运作上独立于采购人、</w:t>
      </w:r>
      <w:r>
        <w:rPr>
          <w:rFonts w:hint="eastAsia"/>
          <w:lang w:eastAsia="zh-CN"/>
        </w:rPr>
        <w:t>采购人</w:t>
      </w:r>
      <w:r>
        <w:t>的投标人，在此保证所提交的所有文件和全部说明是真实的和正确的。</w:t>
      </w:r>
    </w:p>
    <w:p w14:paraId="267BF36B">
      <w:pPr>
        <w:pStyle w:val="13"/>
        <w:ind w:firstLine="480"/>
      </w:pPr>
      <w:r>
        <w:t>（八）我方投标报价已包含应向知识产权所有权人支付的所有相关税费，并保证采购人在中国使用我方提供的货物时，如有第三方提出侵犯其知识产权主张的，责任由我方承担。</w:t>
      </w:r>
    </w:p>
    <w:p w14:paraId="783AD288">
      <w:pPr>
        <w:pStyle w:val="13"/>
        <w:ind w:firstLine="480"/>
      </w:pPr>
      <w:r>
        <w:t>（九）我方接受采购人委托向贵方支付代理服务费，项目总报价已包含代理服务费，如果被确定为中标供应商，承诺向贵方足额支付。（若采购人支付代理服务费，则此条不适用）</w:t>
      </w:r>
    </w:p>
    <w:p w14:paraId="1CEB31A6">
      <w:pPr>
        <w:pStyle w:val="13"/>
        <w:ind w:firstLine="480"/>
      </w:pPr>
      <w:r>
        <w:t>（十）我方与其他投标人不存在单位负责人为同一人或者存在直接控股、管理关系。</w:t>
      </w:r>
    </w:p>
    <w:p w14:paraId="4E267AE2">
      <w:pPr>
        <w:pStyle w:val="13"/>
        <w:ind w:firstLine="480"/>
      </w:pPr>
      <w:r>
        <w:t>（十一）我方承诺未为本项目提供整体设计、规范编制或者项目管理、监理、检测等服务。</w:t>
      </w:r>
    </w:p>
    <w:p w14:paraId="69210535">
      <w:pPr>
        <w:pStyle w:val="13"/>
        <w:ind w:firstLine="480"/>
      </w:pPr>
      <w:r>
        <w:t>（十二）我方未被列入法院失信被执行人名单中。</w:t>
      </w:r>
    </w:p>
    <w:p w14:paraId="0BF09E54">
      <w:pPr>
        <w:pStyle w:val="13"/>
        <w:ind w:firstLine="480"/>
      </w:pPr>
      <w:r>
        <w:t>（十三）我方承诺遵守《中华人民共和国民法典》有关规定和《中华人民共和国妇女权益保障法》中关于“劳动和社会保障权益”的有关要求。</w:t>
      </w:r>
    </w:p>
    <w:p w14:paraId="69605491">
      <w:pPr>
        <w:pStyle w:val="13"/>
        <w:ind w:firstLine="480"/>
      </w:pPr>
      <w:r>
        <w:t>（十四）我方具备《中华人民共和国政府采购法》第二十二条规定的条件，承诺如下：</w:t>
      </w:r>
    </w:p>
    <w:p w14:paraId="4BEC857C">
      <w:pPr>
        <w:pStyle w:val="13"/>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199FC42C">
      <w:pPr>
        <w:pStyle w:val="13"/>
        <w:ind w:firstLine="480"/>
      </w:pPr>
      <w:r>
        <w:t>（2）我方符合法律、行政法规规定的其他条件。</w:t>
      </w:r>
    </w:p>
    <w:p w14:paraId="2B3AD326">
      <w:pPr>
        <w:pStyle w:val="13"/>
        <w:ind w:firstLine="480"/>
      </w:pPr>
      <w:r>
        <w:t>以上内容如有虚假或与事实不符的，评标委员会可将我方做无效投标处理，我方愿意承担相应的法律责任。</w:t>
      </w:r>
    </w:p>
    <w:p w14:paraId="1FF763CB">
      <w:pPr>
        <w:pStyle w:val="13"/>
        <w:ind w:firstLine="480"/>
      </w:pPr>
      <w:r>
        <w:t>（十五）我方对在本函及</w:t>
      </w:r>
      <w:r>
        <w:rPr>
          <w:rFonts w:hint="eastAsia"/>
          <w:lang w:eastAsia="zh-CN"/>
        </w:rPr>
        <w:t>磋商文件</w:t>
      </w:r>
      <w:r>
        <w:t>中所作的所有承诺承担法律责任。</w:t>
      </w:r>
    </w:p>
    <w:p w14:paraId="5C6BFDED">
      <w:pPr>
        <w:pStyle w:val="13"/>
        <w:ind w:firstLine="480"/>
      </w:pPr>
      <w:r>
        <w:t>（十六）所有与</w:t>
      </w:r>
      <w:r>
        <w:rPr>
          <w:rFonts w:hint="eastAsia"/>
          <w:lang w:eastAsia="zh-CN"/>
        </w:rPr>
        <w:t>本次</w:t>
      </w:r>
      <w:r>
        <w:t>招标有关的函件请发往下列地址：</w:t>
      </w:r>
    </w:p>
    <w:p w14:paraId="4903C56A">
      <w:pPr>
        <w:pStyle w:val="13"/>
        <w:ind w:firstLine="480"/>
      </w:pPr>
      <w:r>
        <w:t xml:space="preserve"> 地 址：__________________邮政编码：__________________</w:t>
      </w:r>
    </w:p>
    <w:p w14:paraId="367161D3">
      <w:pPr>
        <w:pStyle w:val="13"/>
        <w:ind w:firstLine="480"/>
      </w:pPr>
      <w:r>
        <w:t xml:space="preserve"> 电 话：__________________</w:t>
      </w:r>
    </w:p>
    <w:p w14:paraId="2EF3445F">
      <w:pPr>
        <w:pStyle w:val="13"/>
        <w:ind w:firstLine="480"/>
      </w:pPr>
      <w:r>
        <w:t xml:space="preserve"> 传 真：__________________电子邮箱：__________________</w:t>
      </w:r>
    </w:p>
    <w:p w14:paraId="73D1386B">
      <w:pPr>
        <w:pStyle w:val="13"/>
        <w:ind w:firstLine="480"/>
      </w:pPr>
      <w:r>
        <w:t xml:space="preserve"> 代表姓名：__________________职 务：__________________</w:t>
      </w:r>
    </w:p>
    <w:p w14:paraId="7FADDC69">
      <w:pPr>
        <w:pStyle w:val="13"/>
        <w:ind w:firstLine="480"/>
      </w:pPr>
      <w:r>
        <w:t xml:space="preserve"> 投标人法定代表人（或法定代表人授权代表）签字或盖章：__________________</w:t>
      </w:r>
    </w:p>
    <w:p w14:paraId="6288C494">
      <w:pPr>
        <w:pStyle w:val="13"/>
      </w:pPr>
      <w:r>
        <w:t xml:space="preserve"> 投标人名称（盖章）：__________________</w:t>
      </w:r>
    </w:p>
    <w:p w14:paraId="1701E814">
      <w:pPr>
        <w:pStyle w:val="13"/>
      </w:pPr>
      <w:r>
        <w:t xml:space="preserve"> 日期： 年 月 日</w:t>
      </w:r>
    </w:p>
    <w:p w14:paraId="6C81A1F3">
      <w:pPr>
        <w:pStyle w:val="13"/>
        <w:ind w:firstLine="480"/>
      </w:pPr>
      <w:r>
        <w:t xml:space="preserve">  </w:t>
      </w:r>
    </w:p>
    <w:p w14:paraId="56B83DE5">
      <w:pPr>
        <w:pStyle w:val="13"/>
        <w:pageBreakBefore/>
        <w:outlineLvl w:val="2"/>
      </w:pPr>
      <w:r>
        <w:rPr>
          <w:b/>
          <w:sz w:val="28"/>
        </w:rPr>
        <w:t>格式二：</w:t>
      </w:r>
    </w:p>
    <w:p w14:paraId="4062F958">
      <w:pPr>
        <w:pStyle w:val="13"/>
        <w:jc w:val="center"/>
        <w:outlineLvl w:val="3"/>
      </w:pPr>
      <w:r>
        <w:rPr>
          <w:b/>
          <w:sz w:val="24"/>
        </w:rPr>
        <w:t>开标一览表</w:t>
      </w:r>
    </w:p>
    <w:p w14:paraId="60A50084">
      <w:pPr>
        <w:pStyle w:val="13"/>
        <w:ind w:firstLine="480"/>
      </w:pPr>
      <w:r>
        <w:t xml:space="preserve"> 注：投标供应商应在投标客户端【报价部分】进行填写，投标客户端软件将自动根据供应商填写信息在线生成开标一览表，若在</w:t>
      </w:r>
      <w:r>
        <w:rPr>
          <w:rFonts w:hint="eastAsia"/>
          <w:lang w:eastAsia="zh-CN"/>
        </w:rPr>
        <w:t>磋商文件</w:t>
      </w:r>
      <w:r>
        <w:t>中出现非系统生成的开标一览表，且与投标客户端生成的开标一览表信息内容不一致，以投标客户端在线填写报价并生成的内容为准。（下列表样仅供参考）</w:t>
      </w:r>
      <w:r>
        <w:br w:type="textWrapping"/>
      </w:r>
    </w:p>
    <w:p w14:paraId="282925B6">
      <w:pPr>
        <w:pStyle w:val="13"/>
        <w:ind w:firstLine="480"/>
      </w:pPr>
      <w:r>
        <w:t>项目名称：</w:t>
      </w:r>
    </w:p>
    <w:p w14:paraId="5B8AFB19">
      <w:pPr>
        <w:pStyle w:val="13"/>
        <w:ind w:firstLine="480"/>
      </w:pPr>
      <w:r>
        <w:t>投标人名称：</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CD48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76AD27">
            <w:pPr>
              <w:pStyle w:val="13"/>
            </w:pPr>
            <w:r>
              <w:t xml:space="preserve"> 序号</w:t>
            </w:r>
          </w:p>
        </w:tc>
        <w:tc>
          <w:tcPr>
            <w:tcW w:w="1661" w:type="dxa"/>
          </w:tcPr>
          <w:p w14:paraId="3E98695F">
            <w:pPr>
              <w:pStyle w:val="13"/>
            </w:pPr>
            <w:r>
              <w:t xml:space="preserve"> 采购项目名称/采购包名称</w:t>
            </w:r>
          </w:p>
        </w:tc>
        <w:tc>
          <w:tcPr>
            <w:tcW w:w="1661" w:type="dxa"/>
          </w:tcPr>
          <w:p w14:paraId="4B37F09A">
            <w:pPr>
              <w:pStyle w:val="13"/>
            </w:pPr>
            <w:r>
              <w:t xml:space="preserve"> 投标报价（元/%）</w:t>
            </w:r>
          </w:p>
        </w:tc>
        <w:tc>
          <w:tcPr>
            <w:tcW w:w="1661" w:type="dxa"/>
          </w:tcPr>
          <w:p w14:paraId="5165DDDC">
            <w:pPr>
              <w:pStyle w:val="13"/>
            </w:pPr>
            <w:r>
              <w:t xml:space="preserve"> 交货或服务期</w:t>
            </w:r>
          </w:p>
        </w:tc>
        <w:tc>
          <w:tcPr>
            <w:tcW w:w="1661" w:type="dxa"/>
          </w:tcPr>
          <w:p w14:paraId="7D9F5689">
            <w:pPr>
              <w:pStyle w:val="13"/>
            </w:pPr>
            <w:r>
              <w:t xml:space="preserve"> 交货或服务地点</w:t>
            </w:r>
          </w:p>
        </w:tc>
      </w:tr>
      <w:tr w14:paraId="523B6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F5A03C">
            <w:pPr>
              <w:pStyle w:val="13"/>
            </w:pPr>
            <w:r>
              <w:t xml:space="preserve"> 1</w:t>
            </w:r>
          </w:p>
        </w:tc>
        <w:tc>
          <w:tcPr>
            <w:tcW w:w="1661" w:type="dxa"/>
          </w:tcPr>
          <w:p w14:paraId="6FD85AC0"/>
        </w:tc>
        <w:tc>
          <w:tcPr>
            <w:tcW w:w="1661" w:type="dxa"/>
          </w:tcPr>
          <w:p w14:paraId="6187D201"/>
        </w:tc>
        <w:tc>
          <w:tcPr>
            <w:tcW w:w="1661" w:type="dxa"/>
          </w:tcPr>
          <w:p w14:paraId="7F3FF94F"/>
        </w:tc>
        <w:tc>
          <w:tcPr>
            <w:tcW w:w="1661" w:type="dxa"/>
          </w:tcPr>
          <w:p w14:paraId="6D59802E"/>
        </w:tc>
      </w:tr>
    </w:tbl>
    <w:p w14:paraId="495B041E">
      <w:pPr>
        <w:pStyle w:val="13"/>
      </w:pPr>
      <w:r>
        <w:t xml:space="preserve"> 投标人签章：__________________</w:t>
      </w:r>
    </w:p>
    <w:p w14:paraId="7B1CBF46">
      <w:pPr>
        <w:pStyle w:val="13"/>
      </w:pPr>
      <w:r>
        <w:t>日期： 年 月 日</w:t>
      </w:r>
    </w:p>
    <w:p w14:paraId="21CB24D4">
      <w:pPr>
        <w:pStyle w:val="13"/>
        <w:ind w:firstLine="480"/>
      </w:pPr>
      <w:r>
        <w:t xml:space="preserve">  </w:t>
      </w:r>
    </w:p>
    <w:p w14:paraId="174D1607">
      <w:pPr>
        <w:pStyle w:val="13"/>
        <w:pageBreakBefore/>
        <w:outlineLvl w:val="2"/>
      </w:pPr>
      <w:r>
        <w:rPr>
          <w:b/>
          <w:sz w:val="28"/>
        </w:rPr>
        <w:t>格式三：</w:t>
      </w:r>
    </w:p>
    <w:p w14:paraId="325A72E1">
      <w:pPr>
        <w:pStyle w:val="13"/>
        <w:jc w:val="center"/>
        <w:outlineLvl w:val="3"/>
        <w:rPr>
          <w:rFonts w:hint="default" w:eastAsiaTheme="minorEastAsia"/>
          <w:lang w:val="en-US" w:eastAsia="zh-CN"/>
        </w:rPr>
      </w:pPr>
      <w:r>
        <w:rPr>
          <w:b/>
          <w:sz w:val="24"/>
        </w:rPr>
        <w:t>报价表</w:t>
      </w:r>
    </w:p>
    <w:p w14:paraId="20C35DDC">
      <w:pPr>
        <w:pStyle w:val="13"/>
      </w:pPr>
    </w:p>
    <w:p w14:paraId="617E0CF6">
      <w:pPr>
        <w:pStyle w:val="13"/>
      </w:pPr>
      <w:r>
        <w:t>项目名称：</w:t>
      </w:r>
    </w:p>
    <w:p w14:paraId="010F3FFF">
      <w:pPr>
        <w:pStyle w:val="13"/>
      </w:pPr>
      <w:r>
        <w:t>投标人名称：</w:t>
      </w:r>
    </w:p>
    <w:p w14:paraId="68F4359A">
      <w:pPr>
        <w:pStyle w:val="13"/>
      </w:pPr>
      <w: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654"/>
        <w:gridCol w:w="2851"/>
        <w:gridCol w:w="1827"/>
        <w:gridCol w:w="2318"/>
      </w:tblGrid>
      <w:tr w14:paraId="184B7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3A39E60B">
            <w:pPr>
              <w:pStyle w:val="13"/>
              <w:jc w:val="center"/>
            </w:pPr>
            <w:r>
              <w:t>品目</w:t>
            </w:r>
          </w:p>
        </w:tc>
        <w:tc>
          <w:tcPr>
            <w:tcW w:w="654" w:type="dxa"/>
            <w:vAlign w:val="center"/>
          </w:tcPr>
          <w:p w14:paraId="74A97F4B">
            <w:pPr>
              <w:pStyle w:val="13"/>
              <w:jc w:val="center"/>
            </w:pPr>
            <w:r>
              <w:t>序号</w:t>
            </w:r>
          </w:p>
        </w:tc>
        <w:tc>
          <w:tcPr>
            <w:tcW w:w="2851" w:type="dxa"/>
            <w:vAlign w:val="center"/>
          </w:tcPr>
          <w:p w14:paraId="3C643FB6">
            <w:pPr>
              <w:pStyle w:val="13"/>
              <w:jc w:val="center"/>
            </w:pPr>
            <w:r>
              <w:t>采购项目名称/采购包名称</w:t>
            </w:r>
          </w:p>
        </w:tc>
        <w:tc>
          <w:tcPr>
            <w:tcW w:w="1827" w:type="dxa"/>
            <w:vAlign w:val="center"/>
          </w:tcPr>
          <w:p w14:paraId="41AF8C23">
            <w:pPr>
              <w:pStyle w:val="13"/>
              <w:jc w:val="center"/>
            </w:pPr>
            <w:r>
              <w:t>投标报价（元/%）</w:t>
            </w:r>
          </w:p>
        </w:tc>
        <w:tc>
          <w:tcPr>
            <w:tcW w:w="2318" w:type="dxa"/>
            <w:vAlign w:val="center"/>
          </w:tcPr>
          <w:p w14:paraId="1BB6C4C7">
            <w:pPr>
              <w:pStyle w:val="13"/>
              <w:jc w:val="center"/>
              <w:rPr>
                <w:rFonts w:hint="default" w:eastAsiaTheme="minorEastAsia"/>
                <w:lang w:val="en-US" w:eastAsia="zh-CN"/>
              </w:rPr>
            </w:pPr>
            <w:r>
              <w:rPr>
                <w:rFonts w:hint="eastAsia"/>
                <w:lang w:val="en-US" w:eastAsia="zh-CN"/>
              </w:rPr>
              <w:t>法定代表人/代理人签字</w:t>
            </w:r>
          </w:p>
        </w:tc>
      </w:tr>
      <w:tr w14:paraId="6E88D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vAlign w:val="center"/>
          </w:tcPr>
          <w:p w14:paraId="17B36589">
            <w:pPr>
              <w:pStyle w:val="13"/>
              <w:jc w:val="center"/>
            </w:pPr>
          </w:p>
        </w:tc>
        <w:tc>
          <w:tcPr>
            <w:tcW w:w="654" w:type="dxa"/>
            <w:vAlign w:val="center"/>
          </w:tcPr>
          <w:p w14:paraId="0614BE87">
            <w:pPr>
              <w:jc w:val="center"/>
            </w:pPr>
          </w:p>
        </w:tc>
        <w:tc>
          <w:tcPr>
            <w:tcW w:w="2851" w:type="dxa"/>
            <w:vAlign w:val="center"/>
          </w:tcPr>
          <w:p w14:paraId="2E9B53ED">
            <w:pPr>
              <w:jc w:val="center"/>
            </w:pPr>
          </w:p>
        </w:tc>
        <w:tc>
          <w:tcPr>
            <w:tcW w:w="1827" w:type="dxa"/>
            <w:vAlign w:val="center"/>
          </w:tcPr>
          <w:p w14:paraId="17B10A2C">
            <w:pPr>
              <w:jc w:val="center"/>
            </w:pPr>
          </w:p>
        </w:tc>
        <w:tc>
          <w:tcPr>
            <w:tcW w:w="2318" w:type="dxa"/>
            <w:vAlign w:val="center"/>
          </w:tcPr>
          <w:p w14:paraId="5EF337EF">
            <w:pPr>
              <w:jc w:val="center"/>
            </w:pPr>
          </w:p>
        </w:tc>
      </w:tr>
    </w:tbl>
    <w:p w14:paraId="6DEA5FBC">
      <w:pPr>
        <w:pStyle w:val="13"/>
      </w:pPr>
      <w:r>
        <w:br w:type="textWrapping"/>
      </w:r>
    </w:p>
    <w:p w14:paraId="5A7DDF41">
      <w:pPr>
        <w:pStyle w:val="13"/>
      </w:pPr>
      <w:r>
        <w:t>投标人</w:t>
      </w:r>
      <w:r>
        <w:rPr>
          <w:rFonts w:hint="eastAsia"/>
          <w:lang w:val="en-US" w:eastAsia="zh-CN"/>
        </w:rPr>
        <w:t>公</w:t>
      </w:r>
      <w:r>
        <w:t>章：__</w:t>
      </w:r>
      <w:bookmarkStart w:id="3" w:name="_GoBack"/>
      <w:bookmarkEnd w:id="3"/>
      <w:r>
        <w:t>________________</w:t>
      </w:r>
    </w:p>
    <w:p w14:paraId="224C9FD2">
      <w:pPr>
        <w:pStyle w:val="13"/>
      </w:pPr>
      <w:r>
        <w:t xml:space="preserve">日期： </w:t>
      </w:r>
      <w:r>
        <w:rPr>
          <w:rFonts w:hint="eastAsia"/>
          <w:lang w:val="en-US" w:eastAsia="zh-CN"/>
        </w:rPr>
        <w:t xml:space="preserve">   </w:t>
      </w:r>
      <w:r>
        <w:t xml:space="preserve">年 </w:t>
      </w:r>
      <w:r>
        <w:rPr>
          <w:rFonts w:hint="eastAsia"/>
          <w:lang w:val="en-US" w:eastAsia="zh-CN"/>
        </w:rPr>
        <w:t xml:space="preserve"> </w:t>
      </w:r>
      <w:r>
        <w:t xml:space="preserve">月 </w:t>
      </w:r>
      <w:r>
        <w:rPr>
          <w:rFonts w:hint="eastAsia"/>
          <w:lang w:val="en-US" w:eastAsia="zh-CN"/>
        </w:rPr>
        <w:t xml:space="preserve"> </w:t>
      </w:r>
      <w:r>
        <w:t>日</w:t>
      </w:r>
    </w:p>
    <w:p w14:paraId="03032612">
      <w:pPr>
        <w:pStyle w:val="13"/>
        <w:pageBreakBefore/>
        <w:outlineLvl w:val="2"/>
      </w:pPr>
      <w:r>
        <w:rPr>
          <w:b/>
          <w:sz w:val="28"/>
        </w:rPr>
        <w:t>格式</w:t>
      </w:r>
      <w:r>
        <w:rPr>
          <w:rFonts w:hint="eastAsia"/>
          <w:b/>
          <w:sz w:val="28"/>
          <w:lang w:val="en-US" w:eastAsia="zh-CN"/>
        </w:rPr>
        <w:t>四</w:t>
      </w:r>
      <w:r>
        <w:rPr>
          <w:b/>
          <w:sz w:val="28"/>
        </w:rPr>
        <w:t>：</w:t>
      </w:r>
    </w:p>
    <w:p w14:paraId="026B4841">
      <w:pPr>
        <w:pStyle w:val="13"/>
        <w:ind w:firstLine="480"/>
      </w:pPr>
      <w:r>
        <w:t>（投标人可使用下述格式，也可使用广东省工商行政管理局统一印制的法定代表人证明书格式）</w:t>
      </w:r>
    </w:p>
    <w:p w14:paraId="022F4696">
      <w:pPr>
        <w:pStyle w:val="13"/>
        <w:jc w:val="center"/>
        <w:outlineLvl w:val="3"/>
      </w:pPr>
      <w:r>
        <w:rPr>
          <w:b/>
          <w:sz w:val="24"/>
        </w:rPr>
        <w:t>法定代表人证明书</w:t>
      </w:r>
    </w:p>
    <w:p w14:paraId="132E1DDE">
      <w:pPr>
        <w:pStyle w:val="13"/>
        <w:ind w:firstLine="480"/>
      </w:pPr>
      <w:r>
        <w:t>_____________现任我单位_____________职务，为法定代表人，特此证明。</w:t>
      </w:r>
    </w:p>
    <w:p w14:paraId="2F7FF480">
      <w:pPr>
        <w:pStyle w:val="13"/>
        <w:ind w:firstLine="480"/>
      </w:pPr>
      <w:r>
        <w:t>有效期限：__________________</w:t>
      </w:r>
    </w:p>
    <w:p w14:paraId="781BC41E">
      <w:pPr>
        <w:pStyle w:val="13"/>
        <w:ind w:firstLine="480"/>
      </w:pPr>
      <w:r>
        <w:t>附：代表人性别：_____年龄：_________ 身份证号码：__________________</w:t>
      </w:r>
    </w:p>
    <w:p w14:paraId="7290EFF3">
      <w:pPr>
        <w:pStyle w:val="13"/>
        <w:ind w:firstLine="480"/>
      </w:pPr>
      <w:r>
        <w:t>注册号码：____________________企业类型：____________________________</w:t>
      </w:r>
    </w:p>
    <w:p w14:paraId="59366BFD">
      <w:pPr>
        <w:pStyle w:val="13"/>
        <w:ind w:firstLine="480"/>
      </w:pPr>
      <w:r>
        <w:t>经营范围：__________________________</w:t>
      </w:r>
    </w:p>
    <w:p w14:paraId="736CB499">
      <w:pPr>
        <w:pStyle w:val="13"/>
      </w:pPr>
      <w:r>
        <w:t xml:space="preserve"> 投标人名称（盖章）：__________________</w:t>
      </w:r>
    </w:p>
    <w:p w14:paraId="4D9C8FA4">
      <w:pPr>
        <w:pStyle w:val="13"/>
      </w:pPr>
      <w:r>
        <w:t xml:space="preserve"> 地址：__________________</w:t>
      </w:r>
    </w:p>
    <w:p w14:paraId="7BA49064">
      <w:pPr>
        <w:pStyle w:val="13"/>
      </w:pPr>
      <w:r>
        <w:t xml:space="preserve"> 法定代表人（签字或盖章）：__________________</w:t>
      </w:r>
    </w:p>
    <w:p w14:paraId="4516205D">
      <w:pPr>
        <w:pStyle w:val="13"/>
      </w:pPr>
      <w:r>
        <w:t xml:space="preserve"> 职务：__________________</w:t>
      </w:r>
    </w:p>
    <w:p w14:paraId="2239A566">
      <w:pPr>
        <w:pStyle w:val="13"/>
      </w:pPr>
      <w:r>
        <w:t xml:space="preserve"> 日期： 年 月 日</w:t>
      </w:r>
    </w:p>
    <w:p w14:paraId="5B5AC027">
      <w:pPr>
        <w:pStyle w:val="13"/>
        <w:ind w:firstLine="480"/>
      </w:pPr>
      <w:r>
        <w:t xml:space="preserve">  </w:t>
      </w:r>
    </w:p>
    <w:p w14:paraId="47FF44D6">
      <w:pPr>
        <w:pStyle w:val="13"/>
        <w:pageBreakBefore/>
        <w:outlineLvl w:val="2"/>
      </w:pPr>
      <w:r>
        <w:rPr>
          <w:b/>
          <w:sz w:val="28"/>
        </w:rPr>
        <w:t>格式</w:t>
      </w:r>
      <w:r>
        <w:rPr>
          <w:rFonts w:hint="eastAsia"/>
          <w:b/>
          <w:sz w:val="28"/>
          <w:lang w:val="en-US" w:eastAsia="zh-CN"/>
        </w:rPr>
        <w:t>五</w:t>
      </w:r>
      <w:r>
        <w:rPr>
          <w:b/>
          <w:sz w:val="28"/>
        </w:rPr>
        <w:t>：</w:t>
      </w:r>
    </w:p>
    <w:p w14:paraId="73AA17D3">
      <w:pPr>
        <w:pStyle w:val="13"/>
        <w:jc w:val="center"/>
        <w:outlineLvl w:val="3"/>
      </w:pPr>
      <w:r>
        <w:rPr>
          <w:b/>
          <w:sz w:val="24"/>
        </w:rPr>
        <w:t>法定代表人授权书格式</w:t>
      </w:r>
    </w:p>
    <w:p w14:paraId="39892F9E">
      <w:pPr>
        <w:pStyle w:val="13"/>
        <w:ind w:firstLine="480"/>
      </w:pPr>
      <w:r>
        <w:t>（对于银行、保险、电信、邮政、铁路等行业以及获得总公司投标授权的分公司，可以提供投标分支机构负责人授权书）</w:t>
      </w:r>
    </w:p>
    <w:p w14:paraId="630E09B8">
      <w:pPr>
        <w:pStyle w:val="13"/>
        <w:jc w:val="center"/>
        <w:outlineLvl w:val="3"/>
      </w:pPr>
      <w:r>
        <w:rPr>
          <w:b/>
          <w:sz w:val="24"/>
        </w:rPr>
        <w:t>法定代表人授权书</w:t>
      </w:r>
    </w:p>
    <w:p w14:paraId="27CCD801">
      <w:pPr>
        <w:pStyle w:val="13"/>
        <w:ind w:firstLine="480"/>
        <w:rPr>
          <w:rFonts w:hint="eastAsia"/>
          <w:lang w:eastAsia="zh-CN"/>
        </w:rPr>
      </w:pPr>
      <w:r>
        <w:rPr>
          <w:rFonts w:hint="eastAsia"/>
          <w:lang w:eastAsia="zh-CN"/>
        </w:rPr>
        <w:t>致：广东省生殖科学研究所（广东省生殖医院）</w:t>
      </w:r>
    </w:p>
    <w:p w14:paraId="04E761B6">
      <w:pPr>
        <w:pStyle w:val="13"/>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w:t>
      </w:r>
      <w:r>
        <w:rPr>
          <w:rFonts w:hint="eastAsia"/>
          <w:lang w:eastAsia="zh-CN"/>
        </w:rPr>
        <w:t>广东省生殖科学研究所（广东省生殖医院）</w:t>
      </w:r>
      <w:r>
        <w:t>印刷服务采购”项目采购的投标和合同执行，以我方的名义处理一切与之有关的事宜。</w:t>
      </w:r>
    </w:p>
    <w:p w14:paraId="2E6CF2D0">
      <w:pPr>
        <w:pStyle w:val="13"/>
        <w:ind w:firstLine="480"/>
      </w:pPr>
      <w:r>
        <w:t>本授权书于________年________月________日签字生效，特此声明。</w:t>
      </w:r>
    </w:p>
    <w:p w14:paraId="67E438D5">
      <w:pPr>
        <w:pStyle w:val="13"/>
      </w:pPr>
      <w:r>
        <w:t xml:space="preserve"> 投标人（盖章）：__________________</w:t>
      </w:r>
    </w:p>
    <w:p w14:paraId="6A945227">
      <w:pPr>
        <w:pStyle w:val="13"/>
      </w:pPr>
      <w:r>
        <w:t xml:space="preserve"> 地址：__________________</w:t>
      </w:r>
    </w:p>
    <w:p w14:paraId="41414D67">
      <w:pPr>
        <w:pStyle w:val="13"/>
      </w:pPr>
      <w:r>
        <w:t xml:space="preserve"> 法定代表人（签字或盖章）：__________________</w:t>
      </w:r>
    </w:p>
    <w:p w14:paraId="04828608">
      <w:pPr>
        <w:pStyle w:val="13"/>
      </w:pPr>
      <w:r>
        <w:t xml:space="preserve"> 职务：__________________</w:t>
      </w:r>
    </w:p>
    <w:p w14:paraId="2225CEF9">
      <w:pPr>
        <w:pStyle w:val="13"/>
      </w:pPr>
      <w:r>
        <w:t xml:space="preserve"> 被授权人（签字或盖章）：__________________</w:t>
      </w:r>
    </w:p>
    <w:p w14:paraId="1BCAB321">
      <w:pPr>
        <w:pStyle w:val="13"/>
      </w:pPr>
      <w:r>
        <w:t xml:space="preserve"> 职务：__________________</w:t>
      </w:r>
    </w:p>
    <w:p w14:paraId="77D43862">
      <w:pPr>
        <w:pStyle w:val="13"/>
      </w:pPr>
      <w:r>
        <w:t xml:space="preserve"> 日期： 年 月 日</w:t>
      </w:r>
    </w:p>
    <w:p w14:paraId="326D93B5">
      <w:pPr>
        <w:pStyle w:val="13"/>
        <w:ind w:firstLine="480"/>
      </w:pPr>
      <w:r>
        <w:t xml:space="preserve">  </w:t>
      </w:r>
    </w:p>
    <w:p w14:paraId="08D3B76E">
      <w:pPr>
        <w:pStyle w:val="13"/>
      </w:pPr>
    </w:p>
    <w:p w14:paraId="7B5AA8D9">
      <w:pPr>
        <w:pStyle w:val="13"/>
        <w:pageBreakBefore/>
        <w:outlineLvl w:val="2"/>
      </w:pPr>
      <w:r>
        <w:rPr>
          <w:b/>
          <w:sz w:val="28"/>
        </w:rPr>
        <w:t>格式</w:t>
      </w:r>
      <w:r>
        <w:rPr>
          <w:rFonts w:hint="eastAsia"/>
          <w:b/>
          <w:sz w:val="28"/>
          <w:lang w:val="en-US" w:eastAsia="zh-CN"/>
        </w:rPr>
        <w:t>六</w:t>
      </w:r>
      <w:r>
        <w:rPr>
          <w:b/>
          <w:sz w:val="28"/>
        </w:rPr>
        <w:t>：</w:t>
      </w:r>
    </w:p>
    <w:p w14:paraId="2A9C844C">
      <w:pPr>
        <w:pStyle w:val="13"/>
        <w:jc w:val="center"/>
        <w:outlineLvl w:val="3"/>
      </w:pPr>
      <w:r>
        <w:rPr>
          <w:b/>
          <w:sz w:val="24"/>
        </w:rPr>
        <w:t>提供具有独立承担民事责任的能力的证明材料</w:t>
      </w:r>
    </w:p>
    <w:p w14:paraId="030EB364">
      <w:pPr>
        <w:pStyle w:val="13"/>
        <w:ind w:firstLine="480"/>
      </w:pPr>
      <w:r>
        <w:t xml:space="preserve">  </w:t>
      </w:r>
    </w:p>
    <w:p w14:paraId="0949A1F1">
      <w:pPr>
        <w:pStyle w:val="13"/>
        <w:pageBreakBefore/>
        <w:outlineLvl w:val="2"/>
      </w:pPr>
      <w:r>
        <w:rPr>
          <w:b/>
          <w:sz w:val="28"/>
        </w:rPr>
        <w:t>格式</w:t>
      </w:r>
      <w:r>
        <w:rPr>
          <w:rFonts w:hint="eastAsia"/>
          <w:b/>
          <w:sz w:val="28"/>
          <w:lang w:val="en-US" w:eastAsia="zh-CN"/>
        </w:rPr>
        <w:t>七</w:t>
      </w:r>
      <w:r>
        <w:rPr>
          <w:b/>
          <w:sz w:val="28"/>
        </w:rPr>
        <w:t>：</w:t>
      </w:r>
    </w:p>
    <w:p w14:paraId="590C9DC6">
      <w:pPr>
        <w:pStyle w:val="13"/>
        <w:jc w:val="center"/>
        <w:outlineLvl w:val="3"/>
      </w:pPr>
      <w:r>
        <w:rPr>
          <w:b/>
          <w:sz w:val="24"/>
        </w:rPr>
        <w:t>资格性审查要求的其他资质证明文件</w:t>
      </w:r>
    </w:p>
    <w:p w14:paraId="7CEA9FA6">
      <w:pPr>
        <w:pStyle w:val="13"/>
        <w:ind w:firstLine="480"/>
      </w:pPr>
      <w:r>
        <w:t>具有履行合同所必需的设备和专业技术能力</w:t>
      </w:r>
    </w:p>
    <w:p w14:paraId="7FCFFADC">
      <w:pPr>
        <w:pStyle w:val="13"/>
      </w:pPr>
      <w:r>
        <w:t xml:space="preserve">  </w:t>
      </w:r>
    </w:p>
    <w:p w14:paraId="1706DA1A">
      <w:pPr>
        <w:pStyle w:val="13"/>
        <w:pageBreakBefore/>
        <w:outlineLvl w:val="2"/>
      </w:pPr>
      <w:r>
        <w:rPr>
          <w:b/>
          <w:sz w:val="28"/>
        </w:rPr>
        <w:t>格式</w:t>
      </w:r>
      <w:r>
        <w:rPr>
          <w:rFonts w:hint="eastAsia"/>
          <w:b/>
          <w:sz w:val="28"/>
          <w:lang w:val="en-US" w:eastAsia="zh-CN"/>
        </w:rPr>
        <w:t>八</w:t>
      </w:r>
      <w:r>
        <w:rPr>
          <w:b/>
          <w:sz w:val="28"/>
        </w:rPr>
        <w:t>：</w:t>
      </w:r>
    </w:p>
    <w:p w14:paraId="69A9DBDC">
      <w:pPr>
        <w:pStyle w:val="13"/>
        <w:ind w:firstLine="480"/>
      </w:pPr>
      <w:r>
        <w:t>（对于采购需求写明“提供承诺”的条款，供应商可参照以下格式提供承诺）</w:t>
      </w:r>
    </w:p>
    <w:p w14:paraId="3F1E571C">
      <w:pPr>
        <w:pStyle w:val="13"/>
        <w:jc w:val="center"/>
        <w:outlineLvl w:val="3"/>
      </w:pPr>
      <w:r>
        <w:rPr>
          <w:b/>
          <w:sz w:val="24"/>
        </w:rPr>
        <w:t>承诺函</w:t>
      </w:r>
    </w:p>
    <w:p w14:paraId="7D475618">
      <w:pPr>
        <w:pStyle w:val="13"/>
        <w:ind w:firstLine="480"/>
      </w:pPr>
      <w:r>
        <w:t>致：</w:t>
      </w:r>
      <w:r>
        <w:rPr>
          <w:rFonts w:hint="eastAsia"/>
          <w:lang w:eastAsia="zh-CN"/>
        </w:rPr>
        <w:t>广东省生殖科学研究所（广东省生殖医院）</w:t>
      </w:r>
      <w:r>
        <w:br w:type="textWrapping"/>
      </w:r>
    </w:p>
    <w:p w14:paraId="5671F930">
      <w:pPr>
        <w:pStyle w:val="13"/>
        <w:ind w:firstLine="480"/>
      </w:pPr>
      <w:r>
        <w:t>对于__________________项目，我方郑重承诺如下：</w:t>
      </w:r>
    </w:p>
    <w:p w14:paraId="06BC743C">
      <w:pPr>
        <w:pStyle w:val="13"/>
        <w:ind w:firstLine="480"/>
      </w:pPr>
      <w:r>
        <w:t>如中标/成交，我方承诺严格落实采购文件以下条款：</w:t>
      </w:r>
      <w:r>
        <w:rPr>
          <w:rFonts w:hint="eastAsia"/>
          <w:lang w:eastAsia="zh-CN"/>
        </w:rPr>
        <w:t>（</w:t>
      </w:r>
      <w:r>
        <w:t>建议逐条复制采购文件相关条款原文</w:t>
      </w:r>
      <w:r>
        <w:rPr>
          <w:rFonts w:hint="eastAsia"/>
          <w:lang w:eastAsia="zh-CN"/>
        </w:rPr>
        <w:t>）</w:t>
      </w:r>
    </w:p>
    <w:p w14:paraId="7C34BE70">
      <w:pPr>
        <w:pStyle w:val="13"/>
        <w:ind w:firstLine="480"/>
      </w:pPr>
      <w:r>
        <w:t>（一）星号条款</w:t>
      </w:r>
    </w:p>
    <w:p w14:paraId="6EB4A8F2">
      <w:pPr>
        <w:pStyle w:val="13"/>
        <w:ind w:firstLine="480"/>
      </w:pPr>
      <w:r>
        <w:t>1.</w:t>
      </w:r>
    </w:p>
    <w:p w14:paraId="2A0B9973">
      <w:pPr>
        <w:pStyle w:val="13"/>
        <w:ind w:firstLine="480"/>
      </w:pPr>
      <w:r>
        <w:t>2.</w:t>
      </w:r>
    </w:p>
    <w:p w14:paraId="45035F67">
      <w:pPr>
        <w:pStyle w:val="13"/>
        <w:ind w:firstLine="480"/>
      </w:pPr>
      <w:r>
        <w:t>3.</w:t>
      </w:r>
    </w:p>
    <w:p w14:paraId="6BFDCFA3">
      <w:pPr>
        <w:pStyle w:val="13"/>
        <w:ind w:firstLine="480"/>
      </w:pPr>
      <w:r>
        <w:t>.........</w:t>
      </w:r>
    </w:p>
    <w:p w14:paraId="5DDB4B43">
      <w:pPr>
        <w:pStyle w:val="13"/>
        <w:ind w:firstLine="480"/>
      </w:pPr>
      <w:r>
        <w:t>（二）三角号条款</w:t>
      </w:r>
    </w:p>
    <w:p w14:paraId="13B694A5">
      <w:pPr>
        <w:pStyle w:val="13"/>
        <w:ind w:firstLine="480"/>
      </w:pPr>
      <w:r>
        <w:t>1.</w:t>
      </w:r>
    </w:p>
    <w:p w14:paraId="45626026">
      <w:pPr>
        <w:pStyle w:val="13"/>
        <w:ind w:firstLine="480"/>
      </w:pPr>
      <w:r>
        <w:t>2.</w:t>
      </w:r>
    </w:p>
    <w:p w14:paraId="27F588A3">
      <w:pPr>
        <w:pStyle w:val="13"/>
        <w:ind w:firstLine="480"/>
      </w:pPr>
      <w:r>
        <w:t>3.</w:t>
      </w:r>
    </w:p>
    <w:p w14:paraId="41200F1B">
      <w:pPr>
        <w:pStyle w:val="13"/>
        <w:ind w:firstLine="480"/>
      </w:pPr>
      <w:r>
        <w:t>.........</w:t>
      </w:r>
    </w:p>
    <w:p w14:paraId="4B791001">
      <w:pPr>
        <w:pStyle w:val="13"/>
        <w:ind w:firstLine="480"/>
      </w:pPr>
      <w:r>
        <w:t>（三）非星号、非三角号条款</w:t>
      </w:r>
    </w:p>
    <w:p w14:paraId="354EAE55">
      <w:pPr>
        <w:pStyle w:val="13"/>
        <w:ind w:firstLine="480"/>
      </w:pPr>
      <w:r>
        <w:t>1.</w:t>
      </w:r>
    </w:p>
    <w:p w14:paraId="19B9F2DA">
      <w:pPr>
        <w:pStyle w:val="13"/>
        <w:ind w:firstLine="480"/>
      </w:pPr>
      <w:r>
        <w:t>2.</w:t>
      </w:r>
    </w:p>
    <w:p w14:paraId="37CB3A77">
      <w:pPr>
        <w:pStyle w:val="13"/>
        <w:ind w:firstLine="480"/>
      </w:pPr>
      <w:r>
        <w:t>3.</w:t>
      </w:r>
    </w:p>
    <w:p w14:paraId="292B5602">
      <w:pPr>
        <w:pStyle w:val="13"/>
        <w:ind w:firstLine="480"/>
      </w:pPr>
      <w:r>
        <w:t>.........</w:t>
      </w:r>
      <w:r>
        <w:br w:type="textWrapping"/>
      </w:r>
    </w:p>
    <w:p w14:paraId="34132EC3">
      <w:pPr>
        <w:pStyle w:val="13"/>
        <w:ind w:firstLine="480"/>
      </w:pPr>
      <w:r>
        <w:t>特此承诺。</w:t>
      </w:r>
    </w:p>
    <w:p w14:paraId="6559D737">
      <w:pPr>
        <w:pStyle w:val="13"/>
      </w:pPr>
      <w:r>
        <w:t xml:space="preserve"> 供应商名称（盖章）：__________________</w:t>
      </w:r>
    </w:p>
    <w:p w14:paraId="5DA4137B">
      <w:pPr>
        <w:pStyle w:val="13"/>
      </w:pPr>
      <w:r>
        <w:t xml:space="preserve"> 日期： 年 月 日</w:t>
      </w:r>
    </w:p>
    <w:p w14:paraId="5C930511">
      <w:pPr>
        <w:pStyle w:val="13"/>
        <w:ind w:firstLine="480"/>
      </w:pPr>
      <w:r>
        <w:t xml:space="preserve">      </w:t>
      </w:r>
    </w:p>
    <w:p w14:paraId="7404D983">
      <w:pPr>
        <w:pStyle w:val="13"/>
        <w:pageBreakBefore/>
        <w:outlineLvl w:val="2"/>
      </w:pPr>
      <w:r>
        <w:rPr>
          <w:b/>
          <w:sz w:val="28"/>
        </w:rPr>
        <w:t>格式</w:t>
      </w:r>
      <w:r>
        <w:rPr>
          <w:rFonts w:hint="eastAsia"/>
          <w:b/>
          <w:sz w:val="28"/>
          <w:lang w:val="en-US" w:eastAsia="zh-CN"/>
        </w:rPr>
        <w:t>九</w:t>
      </w:r>
      <w:r>
        <w:rPr>
          <w:b/>
          <w:sz w:val="28"/>
        </w:rPr>
        <w:t>：</w:t>
      </w:r>
    </w:p>
    <w:p w14:paraId="6B19DB7E">
      <w:pPr>
        <w:pStyle w:val="13"/>
        <w:ind w:firstLine="480"/>
      </w:pPr>
      <w:r>
        <w:t>（以下格式文件由供应商根据需要选用）</w:t>
      </w:r>
    </w:p>
    <w:p w14:paraId="2F8201AD">
      <w:pPr>
        <w:pStyle w:val="13"/>
        <w:jc w:val="center"/>
        <w:outlineLvl w:val="3"/>
      </w:pPr>
      <w:r>
        <w:rPr>
          <w:b/>
          <w:sz w:val="24"/>
        </w:rPr>
        <w:t>投标人业绩情况表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7AE9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AF35D6A">
            <w:pPr>
              <w:pStyle w:val="13"/>
            </w:pPr>
            <w:r>
              <w:t>序号</w:t>
            </w:r>
          </w:p>
        </w:tc>
        <w:tc>
          <w:tcPr>
            <w:tcW w:w="1384" w:type="dxa"/>
          </w:tcPr>
          <w:p w14:paraId="41FE5497">
            <w:pPr>
              <w:pStyle w:val="13"/>
            </w:pPr>
            <w:r>
              <w:t>客户名称</w:t>
            </w:r>
          </w:p>
        </w:tc>
        <w:tc>
          <w:tcPr>
            <w:tcW w:w="1384" w:type="dxa"/>
          </w:tcPr>
          <w:p w14:paraId="7FFEAE93">
            <w:pPr>
              <w:pStyle w:val="13"/>
            </w:pPr>
            <w:r>
              <w:t>项目名称及合同金额（万元）</w:t>
            </w:r>
          </w:p>
        </w:tc>
        <w:tc>
          <w:tcPr>
            <w:tcW w:w="1384" w:type="dxa"/>
          </w:tcPr>
          <w:p w14:paraId="28D11D74">
            <w:pPr>
              <w:pStyle w:val="13"/>
            </w:pPr>
            <w:r>
              <w:t>签订合同时间</w:t>
            </w:r>
          </w:p>
        </w:tc>
        <w:tc>
          <w:tcPr>
            <w:tcW w:w="1384" w:type="dxa"/>
          </w:tcPr>
          <w:p w14:paraId="0CB2EA0C">
            <w:pPr>
              <w:pStyle w:val="13"/>
            </w:pPr>
            <w:r>
              <w:t>竣工验收报告时间</w:t>
            </w:r>
          </w:p>
        </w:tc>
        <w:tc>
          <w:tcPr>
            <w:tcW w:w="1384" w:type="dxa"/>
          </w:tcPr>
          <w:p w14:paraId="125DF4CA">
            <w:pPr>
              <w:pStyle w:val="13"/>
            </w:pPr>
            <w:r>
              <w:t>联系人及电话</w:t>
            </w:r>
          </w:p>
        </w:tc>
      </w:tr>
      <w:tr w14:paraId="55F60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A607382">
            <w:pPr>
              <w:pStyle w:val="13"/>
            </w:pPr>
            <w:r>
              <w:t>1</w:t>
            </w:r>
          </w:p>
        </w:tc>
        <w:tc>
          <w:tcPr>
            <w:tcW w:w="1384" w:type="dxa"/>
          </w:tcPr>
          <w:p w14:paraId="5053ABBC"/>
        </w:tc>
        <w:tc>
          <w:tcPr>
            <w:tcW w:w="1384" w:type="dxa"/>
          </w:tcPr>
          <w:p w14:paraId="3DEA23EA"/>
        </w:tc>
        <w:tc>
          <w:tcPr>
            <w:tcW w:w="1384" w:type="dxa"/>
          </w:tcPr>
          <w:p w14:paraId="52F3D170"/>
        </w:tc>
        <w:tc>
          <w:tcPr>
            <w:tcW w:w="1384" w:type="dxa"/>
          </w:tcPr>
          <w:p w14:paraId="01E3696C"/>
        </w:tc>
        <w:tc>
          <w:tcPr>
            <w:tcW w:w="1384" w:type="dxa"/>
          </w:tcPr>
          <w:p w14:paraId="2794A9AE"/>
        </w:tc>
      </w:tr>
      <w:tr w14:paraId="71642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FDA7BCE">
            <w:pPr>
              <w:pStyle w:val="13"/>
            </w:pPr>
            <w:r>
              <w:t xml:space="preserve"> 2</w:t>
            </w:r>
          </w:p>
        </w:tc>
        <w:tc>
          <w:tcPr>
            <w:tcW w:w="1384" w:type="dxa"/>
          </w:tcPr>
          <w:p w14:paraId="3BB2C8F8"/>
        </w:tc>
        <w:tc>
          <w:tcPr>
            <w:tcW w:w="1384" w:type="dxa"/>
          </w:tcPr>
          <w:p w14:paraId="11BA879C"/>
        </w:tc>
        <w:tc>
          <w:tcPr>
            <w:tcW w:w="1384" w:type="dxa"/>
          </w:tcPr>
          <w:p w14:paraId="3352937C"/>
        </w:tc>
        <w:tc>
          <w:tcPr>
            <w:tcW w:w="1384" w:type="dxa"/>
          </w:tcPr>
          <w:p w14:paraId="1974EDE6"/>
        </w:tc>
        <w:tc>
          <w:tcPr>
            <w:tcW w:w="1384" w:type="dxa"/>
          </w:tcPr>
          <w:p w14:paraId="3AB02F21"/>
        </w:tc>
      </w:tr>
      <w:tr w14:paraId="16A47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EBDC180">
            <w:pPr>
              <w:pStyle w:val="13"/>
            </w:pPr>
            <w:r>
              <w:t xml:space="preserve"> 3</w:t>
            </w:r>
          </w:p>
        </w:tc>
        <w:tc>
          <w:tcPr>
            <w:tcW w:w="1384" w:type="dxa"/>
          </w:tcPr>
          <w:p w14:paraId="7C6C4201"/>
        </w:tc>
        <w:tc>
          <w:tcPr>
            <w:tcW w:w="1384" w:type="dxa"/>
          </w:tcPr>
          <w:p w14:paraId="2CFDBAF1"/>
        </w:tc>
        <w:tc>
          <w:tcPr>
            <w:tcW w:w="1384" w:type="dxa"/>
          </w:tcPr>
          <w:p w14:paraId="64411504"/>
        </w:tc>
        <w:tc>
          <w:tcPr>
            <w:tcW w:w="1384" w:type="dxa"/>
          </w:tcPr>
          <w:p w14:paraId="4E3016B1"/>
        </w:tc>
        <w:tc>
          <w:tcPr>
            <w:tcW w:w="1384" w:type="dxa"/>
          </w:tcPr>
          <w:p w14:paraId="5E15C91A"/>
        </w:tc>
      </w:tr>
      <w:tr w14:paraId="521E8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2E0E7C">
            <w:pPr>
              <w:pStyle w:val="13"/>
            </w:pPr>
            <w:r>
              <w:t xml:space="preserve"> 4</w:t>
            </w:r>
          </w:p>
        </w:tc>
        <w:tc>
          <w:tcPr>
            <w:tcW w:w="1384" w:type="dxa"/>
          </w:tcPr>
          <w:p w14:paraId="36C7908A"/>
        </w:tc>
        <w:tc>
          <w:tcPr>
            <w:tcW w:w="1384" w:type="dxa"/>
          </w:tcPr>
          <w:p w14:paraId="345CF261"/>
        </w:tc>
        <w:tc>
          <w:tcPr>
            <w:tcW w:w="1384" w:type="dxa"/>
          </w:tcPr>
          <w:p w14:paraId="66E30ACE"/>
        </w:tc>
        <w:tc>
          <w:tcPr>
            <w:tcW w:w="1384" w:type="dxa"/>
          </w:tcPr>
          <w:p w14:paraId="2C9F5AD7"/>
        </w:tc>
        <w:tc>
          <w:tcPr>
            <w:tcW w:w="1384" w:type="dxa"/>
          </w:tcPr>
          <w:p w14:paraId="5CECB46E"/>
        </w:tc>
      </w:tr>
      <w:tr w14:paraId="52201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E313C7E">
            <w:pPr>
              <w:pStyle w:val="13"/>
            </w:pPr>
            <w:r>
              <w:t xml:space="preserve"> …</w:t>
            </w:r>
          </w:p>
        </w:tc>
        <w:tc>
          <w:tcPr>
            <w:tcW w:w="1384" w:type="dxa"/>
          </w:tcPr>
          <w:p w14:paraId="4292AB84"/>
        </w:tc>
        <w:tc>
          <w:tcPr>
            <w:tcW w:w="1384" w:type="dxa"/>
          </w:tcPr>
          <w:p w14:paraId="261388DF"/>
        </w:tc>
        <w:tc>
          <w:tcPr>
            <w:tcW w:w="1384" w:type="dxa"/>
          </w:tcPr>
          <w:p w14:paraId="04323F46"/>
        </w:tc>
        <w:tc>
          <w:tcPr>
            <w:tcW w:w="1384" w:type="dxa"/>
          </w:tcPr>
          <w:p w14:paraId="1C693E30"/>
        </w:tc>
        <w:tc>
          <w:tcPr>
            <w:tcW w:w="1384" w:type="dxa"/>
          </w:tcPr>
          <w:p w14:paraId="01626E7B"/>
        </w:tc>
      </w:tr>
    </w:tbl>
    <w:p w14:paraId="3155BF06">
      <w:pPr>
        <w:pStyle w:val="13"/>
        <w:ind w:firstLine="480"/>
      </w:pPr>
      <w:r>
        <w:t>根据上述业绩情况，按招标文件要求附销售或服务合同复印件及评审标准要求的证明材料。</w:t>
      </w:r>
    </w:p>
    <w:p w14:paraId="06DEAF4E">
      <w:pPr>
        <w:pStyle w:val="13"/>
        <w:ind w:firstLine="480"/>
      </w:pPr>
      <w:r>
        <w:t xml:space="preserve">  </w:t>
      </w:r>
    </w:p>
    <w:p w14:paraId="06FCF3B3">
      <w:pPr>
        <w:pStyle w:val="13"/>
        <w:pageBreakBefore/>
        <w:outlineLvl w:val="2"/>
      </w:pPr>
      <w:r>
        <w:rPr>
          <w:b/>
          <w:sz w:val="28"/>
        </w:rPr>
        <w:t>格式十：</w:t>
      </w:r>
    </w:p>
    <w:p w14:paraId="671973D4">
      <w:pPr>
        <w:pStyle w:val="13"/>
        <w:jc w:val="center"/>
        <w:outlineLvl w:val="3"/>
      </w:pPr>
      <w:r>
        <w:rPr>
          <w:b/>
          <w:sz w:val="24"/>
        </w:rPr>
        <w:t>《技术和服务要求响应表》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F41B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5A81F76">
            <w:pPr>
              <w:pStyle w:val="13"/>
            </w:pPr>
            <w:r>
              <w:t>序号</w:t>
            </w:r>
          </w:p>
        </w:tc>
        <w:tc>
          <w:tcPr>
            <w:tcW w:w="923" w:type="dxa"/>
          </w:tcPr>
          <w:p w14:paraId="4389ECF8">
            <w:pPr>
              <w:pStyle w:val="13"/>
            </w:pPr>
            <w:r>
              <w:t>标的名称</w:t>
            </w:r>
          </w:p>
        </w:tc>
        <w:tc>
          <w:tcPr>
            <w:tcW w:w="923" w:type="dxa"/>
          </w:tcPr>
          <w:p w14:paraId="34F6B808">
            <w:pPr>
              <w:pStyle w:val="13"/>
            </w:pPr>
            <w:r>
              <w:t>参数性质</w:t>
            </w:r>
          </w:p>
        </w:tc>
        <w:tc>
          <w:tcPr>
            <w:tcW w:w="923" w:type="dxa"/>
          </w:tcPr>
          <w:p w14:paraId="1C71B9CB">
            <w:pPr>
              <w:pStyle w:val="13"/>
            </w:pPr>
            <w:r>
              <w:t>采购文件规定的技术和服务要求</w:t>
            </w:r>
          </w:p>
        </w:tc>
        <w:tc>
          <w:tcPr>
            <w:tcW w:w="923" w:type="dxa"/>
          </w:tcPr>
          <w:p w14:paraId="7550B697">
            <w:pPr>
              <w:pStyle w:val="13"/>
            </w:pPr>
            <w:r>
              <w:rPr>
                <w:rFonts w:hint="eastAsia"/>
                <w:lang w:eastAsia="zh-CN"/>
              </w:rPr>
              <w:t>磋商文件</w:t>
            </w:r>
            <w:r>
              <w:t>响应的具体内容</w:t>
            </w:r>
          </w:p>
        </w:tc>
        <w:tc>
          <w:tcPr>
            <w:tcW w:w="923" w:type="dxa"/>
          </w:tcPr>
          <w:p w14:paraId="6CE241B8">
            <w:pPr>
              <w:pStyle w:val="13"/>
            </w:pPr>
            <w:r>
              <w:t>型号</w:t>
            </w:r>
          </w:p>
        </w:tc>
        <w:tc>
          <w:tcPr>
            <w:tcW w:w="923" w:type="dxa"/>
          </w:tcPr>
          <w:p w14:paraId="585A90EC">
            <w:pPr>
              <w:pStyle w:val="13"/>
            </w:pPr>
            <w:r>
              <w:t>是否偏离</w:t>
            </w:r>
          </w:p>
        </w:tc>
        <w:tc>
          <w:tcPr>
            <w:tcW w:w="923" w:type="dxa"/>
          </w:tcPr>
          <w:p w14:paraId="7383ACD3">
            <w:pPr>
              <w:pStyle w:val="13"/>
            </w:pPr>
            <w:r>
              <w:t>证明文件所在位置</w:t>
            </w:r>
          </w:p>
        </w:tc>
        <w:tc>
          <w:tcPr>
            <w:tcW w:w="923" w:type="dxa"/>
          </w:tcPr>
          <w:p w14:paraId="10964505">
            <w:pPr>
              <w:pStyle w:val="13"/>
            </w:pPr>
            <w:r>
              <w:t>备注</w:t>
            </w:r>
          </w:p>
        </w:tc>
      </w:tr>
      <w:tr w14:paraId="2C3EC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1D92C52">
            <w:pPr>
              <w:pStyle w:val="13"/>
            </w:pPr>
            <w:r>
              <w:t>1</w:t>
            </w:r>
          </w:p>
        </w:tc>
        <w:tc>
          <w:tcPr>
            <w:tcW w:w="923" w:type="dxa"/>
          </w:tcPr>
          <w:p w14:paraId="3C9F91B7"/>
        </w:tc>
        <w:tc>
          <w:tcPr>
            <w:tcW w:w="923" w:type="dxa"/>
          </w:tcPr>
          <w:p w14:paraId="2BDCBDBD"/>
        </w:tc>
        <w:tc>
          <w:tcPr>
            <w:tcW w:w="923" w:type="dxa"/>
          </w:tcPr>
          <w:p w14:paraId="37C8F21F"/>
        </w:tc>
        <w:tc>
          <w:tcPr>
            <w:tcW w:w="923" w:type="dxa"/>
          </w:tcPr>
          <w:p w14:paraId="1FE8AB22"/>
        </w:tc>
        <w:tc>
          <w:tcPr>
            <w:tcW w:w="923" w:type="dxa"/>
          </w:tcPr>
          <w:p w14:paraId="040891A8"/>
        </w:tc>
        <w:tc>
          <w:tcPr>
            <w:tcW w:w="923" w:type="dxa"/>
          </w:tcPr>
          <w:p w14:paraId="36DDED78"/>
        </w:tc>
        <w:tc>
          <w:tcPr>
            <w:tcW w:w="923" w:type="dxa"/>
          </w:tcPr>
          <w:p w14:paraId="18CA2121"/>
        </w:tc>
        <w:tc>
          <w:tcPr>
            <w:tcW w:w="923" w:type="dxa"/>
          </w:tcPr>
          <w:p w14:paraId="0F4988B9"/>
        </w:tc>
      </w:tr>
      <w:tr w14:paraId="145E5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27224B3">
            <w:pPr>
              <w:pStyle w:val="13"/>
            </w:pPr>
            <w:r>
              <w:t>2</w:t>
            </w:r>
          </w:p>
        </w:tc>
        <w:tc>
          <w:tcPr>
            <w:tcW w:w="923" w:type="dxa"/>
          </w:tcPr>
          <w:p w14:paraId="2F6EE13B"/>
        </w:tc>
        <w:tc>
          <w:tcPr>
            <w:tcW w:w="923" w:type="dxa"/>
          </w:tcPr>
          <w:p w14:paraId="1C52A75F"/>
        </w:tc>
        <w:tc>
          <w:tcPr>
            <w:tcW w:w="923" w:type="dxa"/>
          </w:tcPr>
          <w:p w14:paraId="0833E0F4"/>
        </w:tc>
        <w:tc>
          <w:tcPr>
            <w:tcW w:w="923" w:type="dxa"/>
          </w:tcPr>
          <w:p w14:paraId="17C18C0D"/>
        </w:tc>
        <w:tc>
          <w:tcPr>
            <w:tcW w:w="923" w:type="dxa"/>
          </w:tcPr>
          <w:p w14:paraId="011C9BA4"/>
        </w:tc>
        <w:tc>
          <w:tcPr>
            <w:tcW w:w="923" w:type="dxa"/>
          </w:tcPr>
          <w:p w14:paraId="4B9CF7D8"/>
        </w:tc>
        <w:tc>
          <w:tcPr>
            <w:tcW w:w="923" w:type="dxa"/>
          </w:tcPr>
          <w:p w14:paraId="78E3EE42"/>
        </w:tc>
        <w:tc>
          <w:tcPr>
            <w:tcW w:w="923" w:type="dxa"/>
          </w:tcPr>
          <w:p w14:paraId="0A7055A4"/>
        </w:tc>
      </w:tr>
      <w:tr w14:paraId="098FC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C54300">
            <w:pPr>
              <w:pStyle w:val="13"/>
            </w:pPr>
            <w:r>
              <w:t>3</w:t>
            </w:r>
          </w:p>
        </w:tc>
        <w:tc>
          <w:tcPr>
            <w:tcW w:w="923" w:type="dxa"/>
          </w:tcPr>
          <w:p w14:paraId="158D1E97"/>
        </w:tc>
        <w:tc>
          <w:tcPr>
            <w:tcW w:w="923" w:type="dxa"/>
          </w:tcPr>
          <w:p w14:paraId="027811A9"/>
        </w:tc>
        <w:tc>
          <w:tcPr>
            <w:tcW w:w="923" w:type="dxa"/>
          </w:tcPr>
          <w:p w14:paraId="69CF2FBD"/>
        </w:tc>
        <w:tc>
          <w:tcPr>
            <w:tcW w:w="923" w:type="dxa"/>
          </w:tcPr>
          <w:p w14:paraId="57E288EB"/>
        </w:tc>
        <w:tc>
          <w:tcPr>
            <w:tcW w:w="923" w:type="dxa"/>
          </w:tcPr>
          <w:p w14:paraId="3D7AAE0A"/>
        </w:tc>
        <w:tc>
          <w:tcPr>
            <w:tcW w:w="923" w:type="dxa"/>
          </w:tcPr>
          <w:p w14:paraId="152A849F"/>
        </w:tc>
        <w:tc>
          <w:tcPr>
            <w:tcW w:w="923" w:type="dxa"/>
          </w:tcPr>
          <w:p w14:paraId="3938C45C"/>
        </w:tc>
        <w:tc>
          <w:tcPr>
            <w:tcW w:w="923" w:type="dxa"/>
          </w:tcPr>
          <w:p w14:paraId="2B3DACEF"/>
        </w:tc>
      </w:tr>
      <w:tr w14:paraId="7E5F6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9B3C06">
            <w:pPr>
              <w:pStyle w:val="13"/>
            </w:pPr>
            <w:r>
              <w:t>4</w:t>
            </w:r>
          </w:p>
        </w:tc>
        <w:tc>
          <w:tcPr>
            <w:tcW w:w="923" w:type="dxa"/>
          </w:tcPr>
          <w:p w14:paraId="4EA5A021"/>
        </w:tc>
        <w:tc>
          <w:tcPr>
            <w:tcW w:w="923" w:type="dxa"/>
          </w:tcPr>
          <w:p w14:paraId="47E6FF0B"/>
        </w:tc>
        <w:tc>
          <w:tcPr>
            <w:tcW w:w="923" w:type="dxa"/>
          </w:tcPr>
          <w:p w14:paraId="4068E761"/>
        </w:tc>
        <w:tc>
          <w:tcPr>
            <w:tcW w:w="923" w:type="dxa"/>
          </w:tcPr>
          <w:p w14:paraId="58125523"/>
        </w:tc>
        <w:tc>
          <w:tcPr>
            <w:tcW w:w="923" w:type="dxa"/>
          </w:tcPr>
          <w:p w14:paraId="03F0B05F"/>
        </w:tc>
        <w:tc>
          <w:tcPr>
            <w:tcW w:w="923" w:type="dxa"/>
          </w:tcPr>
          <w:p w14:paraId="4151CE2B"/>
        </w:tc>
        <w:tc>
          <w:tcPr>
            <w:tcW w:w="923" w:type="dxa"/>
          </w:tcPr>
          <w:p w14:paraId="7DBAE9A2"/>
        </w:tc>
        <w:tc>
          <w:tcPr>
            <w:tcW w:w="923" w:type="dxa"/>
          </w:tcPr>
          <w:p w14:paraId="65C1BE75"/>
        </w:tc>
      </w:tr>
      <w:tr w14:paraId="46505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795C718">
            <w:pPr>
              <w:pStyle w:val="13"/>
            </w:pPr>
            <w:r>
              <w:t>5</w:t>
            </w:r>
          </w:p>
        </w:tc>
        <w:tc>
          <w:tcPr>
            <w:tcW w:w="923" w:type="dxa"/>
          </w:tcPr>
          <w:p w14:paraId="46C68E91"/>
        </w:tc>
        <w:tc>
          <w:tcPr>
            <w:tcW w:w="923" w:type="dxa"/>
          </w:tcPr>
          <w:p w14:paraId="1D991E45"/>
        </w:tc>
        <w:tc>
          <w:tcPr>
            <w:tcW w:w="923" w:type="dxa"/>
          </w:tcPr>
          <w:p w14:paraId="5AD603E3"/>
        </w:tc>
        <w:tc>
          <w:tcPr>
            <w:tcW w:w="923" w:type="dxa"/>
          </w:tcPr>
          <w:p w14:paraId="3ADA0D1C"/>
        </w:tc>
        <w:tc>
          <w:tcPr>
            <w:tcW w:w="923" w:type="dxa"/>
          </w:tcPr>
          <w:p w14:paraId="4F16C394"/>
        </w:tc>
        <w:tc>
          <w:tcPr>
            <w:tcW w:w="923" w:type="dxa"/>
          </w:tcPr>
          <w:p w14:paraId="715AA4BA"/>
        </w:tc>
        <w:tc>
          <w:tcPr>
            <w:tcW w:w="923" w:type="dxa"/>
          </w:tcPr>
          <w:p w14:paraId="322B109B"/>
        </w:tc>
        <w:tc>
          <w:tcPr>
            <w:tcW w:w="923" w:type="dxa"/>
          </w:tcPr>
          <w:p w14:paraId="197ACB4F"/>
        </w:tc>
      </w:tr>
      <w:tr w14:paraId="56AF6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90A900A">
            <w:pPr>
              <w:pStyle w:val="13"/>
            </w:pPr>
            <w:r>
              <w:t>6</w:t>
            </w:r>
          </w:p>
        </w:tc>
        <w:tc>
          <w:tcPr>
            <w:tcW w:w="923" w:type="dxa"/>
          </w:tcPr>
          <w:p w14:paraId="70A1304D"/>
        </w:tc>
        <w:tc>
          <w:tcPr>
            <w:tcW w:w="923" w:type="dxa"/>
          </w:tcPr>
          <w:p w14:paraId="720DF8A9"/>
        </w:tc>
        <w:tc>
          <w:tcPr>
            <w:tcW w:w="923" w:type="dxa"/>
          </w:tcPr>
          <w:p w14:paraId="607654DF"/>
        </w:tc>
        <w:tc>
          <w:tcPr>
            <w:tcW w:w="923" w:type="dxa"/>
          </w:tcPr>
          <w:p w14:paraId="469D3615"/>
        </w:tc>
        <w:tc>
          <w:tcPr>
            <w:tcW w:w="923" w:type="dxa"/>
          </w:tcPr>
          <w:p w14:paraId="049435DE"/>
        </w:tc>
        <w:tc>
          <w:tcPr>
            <w:tcW w:w="923" w:type="dxa"/>
          </w:tcPr>
          <w:p w14:paraId="39377DC4"/>
        </w:tc>
        <w:tc>
          <w:tcPr>
            <w:tcW w:w="923" w:type="dxa"/>
          </w:tcPr>
          <w:p w14:paraId="06E36BFC"/>
        </w:tc>
        <w:tc>
          <w:tcPr>
            <w:tcW w:w="923" w:type="dxa"/>
          </w:tcPr>
          <w:p w14:paraId="3AA8557F"/>
        </w:tc>
      </w:tr>
      <w:tr w14:paraId="2EA57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98D7101">
            <w:pPr>
              <w:pStyle w:val="13"/>
            </w:pPr>
            <w:r>
              <w:t>……</w:t>
            </w:r>
          </w:p>
        </w:tc>
        <w:tc>
          <w:tcPr>
            <w:tcW w:w="923" w:type="dxa"/>
          </w:tcPr>
          <w:p w14:paraId="2611B921"/>
        </w:tc>
        <w:tc>
          <w:tcPr>
            <w:tcW w:w="923" w:type="dxa"/>
          </w:tcPr>
          <w:p w14:paraId="61A30C95"/>
        </w:tc>
        <w:tc>
          <w:tcPr>
            <w:tcW w:w="923" w:type="dxa"/>
          </w:tcPr>
          <w:p w14:paraId="5C15ADA5"/>
        </w:tc>
        <w:tc>
          <w:tcPr>
            <w:tcW w:w="923" w:type="dxa"/>
          </w:tcPr>
          <w:p w14:paraId="78E80C92"/>
        </w:tc>
        <w:tc>
          <w:tcPr>
            <w:tcW w:w="923" w:type="dxa"/>
          </w:tcPr>
          <w:p w14:paraId="00492508"/>
        </w:tc>
        <w:tc>
          <w:tcPr>
            <w:tcW w:w="923" w:type="dxa"/>
          </w:tcPr>
          <w:p w14:paraId="5D823278"/>
        </w:tc>
        <w:tc>
          <w:tcPr>
            <w:tcW w:w="923" w:type="dxa"/>
          </w:tcPr>
          <w:p w14:paraId="17BF6292"/>
        </w:tc>
        <w:tc>
          <w:tcPr>
            <w:tcW w:w="923" w:type="dxa"/>
          </w:tcPr>
          <w:p w14:paraId="3059D5CE"/>
        </w:tc>
      </w:tr>
    </w:tbl>
    <w:p w14:paraId="3A6029EE">
      <w:pPr>
        <w:pStyle w:val="13"/>
        <w:ind w:firstLine="480"/>
      </w:pPr>
      <w:r>
        <w:t>说明：</w:t>
      </w:r>
    </w:p>
    <w:p w14:paraId="718D52EC">
      <w:pPr>
        <w:pStyle w:val="13"/>
        <w:ind w:firstLine="480"/>
      </w:pPr>
      <w:r>
        <w:t xml:space="preserve"> 1.“采购文件规定的技术和服务要求”项下填写的内容应与招标文件中采购需求的 “技术要求”的内容保持一致。投标人应当如实填写上表“</w:t>
      </w:r>
      <w:r>
        <w:rPr>
          <w:rFonts w:hint="eastAsia"/>
          <w:lang w:eastAsia="zh-CN"/>
        </w:rPr>
        <w:t>磋商文件</w:t>
      </w:r>
      <w:r>
        <w:t>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FDB1689">
      <w:pPr>
        <w:pStyle w:val="13"/>
        <w:ind w:firstLine="480"/>
      </w:pPr>
      <w:r>
        <w:t xml:space="preserve"> 2.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7A14FA7B">
      <w:pPr>
        <w:pStyle w:val="13"/>
        <w:ind w:firstLine="480"/>
      </w:pPr>
      <w:r>
        <w:t>3. “是否偏离”项下应按下列规定填写：优于的，填写“正偏离”；符合的，填写“无偏离”；低于的，填写“负偏离”。</w:t>
      </w:r>
    </w:p>
    <w:p w14:paraId="1573F952">
      <w:pPr>
        <w:pStyle w:val="13"/>
        <w:ind w:firstLine="480"/>
      </w:pPr>
      <w:r>
        <w:t>4.“备注”处可填写偏离情况的说明。</w:t>
      </w:r>
    </w:p>
    <w:p w14:paraId="10ED2A0B">
      <w:pPr>
        <w:pStyle w:val="13"/>
        <w:ind w:firstLine="480"/>
      </w:pPr>
      <w:r>
        <w:t xml:space="preserve">  </w:t>
      </w:r>
    </w:p>
    <w:p w14:paraId="52723065">
      <w:pPr>
        <w:pStyle w:val="13"/>
        <w:pageBreakBefore/>
        <w:outlineLvl w:val="2"/>
      </w:pPr>
      <w:r>
        <w:rPr>
          <w:b/>
          <w:sz w:val="28"/>
        </w:rPr>
        <w:t>格式十</w:t>
      </w:r>
      <w:r>
        <w:rPr>
          <w:rFonts w:hint="eastAsia"/>
          <w:b/>
          <w:sz w:val="28"/>
          <w:lang w:val="en-US" w:eastAsia="zh-CN"/>
        </w:rPr>
        <w:t>一</w:t>
      </w:r>
      <w:r>
        <w:rPr>
          <w:b/>
          <w:sz w:val="28"/>
        </w:rPr>
        <w:t>：</w:t>
      </w:r>
    </w:p>
    <w:p w14:paraId="148C0B4E">
      <w:pPr>
        <w:pStyle w:val="13"/>
        <w:jc w:val="center"/>
        <w:outlineLvl w:val="3"/>
      </w:pPr>
      <w:r>
        <w:rPr>
          <w:b/>
          <w:sz w:val="24"/>
        </w:rPr>
        <w:t>《商务条件响应表》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C697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7C5108">
            <w:pPr>
              <w:pStyle w:val="13"/>
            </w:pPr>
            <w:r>
              <w:t xml:space="preserve"> 序号</w:t>
            </w:r>
          </w:p>
        </w:tc>
        <w:tc>
          <w:tcPr>
            <w:tcW w:w="1187" w:type="dxa"/>
          </w:tcPr>
          <w:p w14:paraId="495C1F57">
            <w:pPr>
              <w:pStyle w:val="13"/>
            </w:pPr>
            <w:r>
              <w:t xml:space="preserve"> 参数性质</w:t>
            </w:r>
          </w:p>
        </w:tc>
        <w:tc>
          <w:tcPr>
            <w:tcW w:w="1187" w:type="dxa"/>
          </w:tcPr>
          <w:p w14:paraId="6643127A">
            <w:pPr>
              <w:pStyle w:val="13"/>
            </w:pPr>
            <w:r>
              <w:t xml:space="preserve"> 采购文件规定的商务条件</w:t>
            </w:r>
          </w:p>
        </w:tc>
        <w:tc>
          <w:tcPr>
            <w:tcW w:w="1187" w:type="dxa"/>
          </w:tcPr>
          <w:p w14:paraId="2D00D242">
            <w:pPr>
              <w:pStyle w:val="13"/>
            </w:pPr>
            <w:r>
              <w:t xml:space="preserve"> </w:t>
            </w:r>
            <w:r>
              <w:rPr>
                <w:rFonts w:hint="eastAsia"/>
                <w:lang w:eastAsia="zh-CN"/>
              </w:rPr>
              <w:t>磋商文件</w:t>
            </w:r>
            <w:r>
              <w:t>响应的具体内容</w:t>
            </w:r>
          </w:p>
        </w:tc>
        <w:tc>
          <w:tcPr>
            <w:tcW w:w="1187" w:type="dxa"/>
          </w:tcPr>
          <w:p w14:paraId="64298C3A">
            <w:pPr>
              <w:pStyle w:val="13"/>
            </w:pPr>
            <w:r>
              <w:t xml:space="preserve"> 是否偏离</w:t>
            </w:r>
          </w:p>
        </w:tc>
        <w:tc>
          <w:tcPr>
            <w:tcW w:w="1187" w:type="dxa"/>
          </w:tcPr>
          <w:p w14:paraId="3BD81804">
            <w:pPr>
              <w:pStyle w:val="13"/>
            </w:pPr>
            <w:r>
              <w:t xml:space="preserve"> 证明文件所在位置</w:t>
            </w:r>
          </w:p>
        </w:tc>
        <w:tc>
          <w:tcPr>
            <w:tcW w:w="1187" w:type="dxa"/>
          </w:tcPr>
          <w:p w14:paraId="14D49C13">
            <w:pPr>
              <w:pStyle w:val="13"/>
            </w:pPr>
            <w:r>
              <w:t xml:space="preserve"> 备注</w:t>
            </w:r>
          </w:p>
        </w:tc>
      </w:tr>
      <w:tr w14:paraId="30225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2E4479">
            <w:pPr>
              <w:pStyle w:val="13"/>
            </w:pPr>
            <w:r>
              <w:t>1</w:t>
            </w:r>
          </w:p>
        </w:tc>
        <w:tc>
          <w:tcPr>
            <w:tcW w:w="1187" w:type="dxa"/>
          </w:tcPr>
          <w:p w14:paraId="020D3402"/>
        </w:tc>
        <w:tc>
          <w:tcPr>
            <w:tcW w:w="1187" w:type="dxa"/>
          </w:tcPr>
          <w:p w14:paraId="3AB04C86"/>
        </w:tc>
        <w:tc>
          <w:tcPr>
            <w:tcW w:w="1187" w:type="dxa"/>
          </w:tcPr>
          <w:p w14:paraId="5A2428CB"/>
        </w:tc>
        <w:tc>
          <w:tcPr>
            <w:tcW w:w="1187" w:type="dxa"/>
          </w:tcPr>
          <w:p w14:paraId="6B2DF8C9"/>
        </w:tc>
        <w:tc>
          <w:tcPr>
            <w:tcW w:w="1187" w:type="dxa"/>
          </w:tcPr>
          <w:p w14:paraId="032B0721"/>
        </w:tc>
        <w:tc>
          <w:tcPr>
            <w:tcW w:w="1187" w:type="dxa"/>
          </w:tcPr>
          <w:p w14:paraId="7DC6F4C9"/>
        </w:tc>
      </w:tr>
      <w:tr w14:paraId="10B8A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8BD105">
            <w:pPr>
              <w:pStyle w:val="13"/>
            </w:pPr>
            <w:r>
              <w:t>2</w:t>
            </w:r>
          </w:p>
        </w:tc>
        <w:tc>
          <w:tcPr>
            <w:tcW w:w="1187" w:type="dxa"/>
          </w:tcPr>
          <w:p w14:paraId="1EF88573"/>
        </w:tc>
        <w:tc>
          <w:tcPr>
            <w:tcW w:w="1187" w:type="dxa"/>
          </w:tcPr>
          <w:p w14:paraId="124D6ADC"/>
        </w:tc>
        <w:tc>
          <w:tcPr>
            <w:tcW w:w="1187" w:type="dxa"/>
          </w:tcPr>
          <w:p w14:paraId="24A23EAC"/>
        </w:tc>
        <w:tc>
          <w:tcPr>
            <w:tcW w:w="1187" w:type="dxa"/>
          </w:tcPr>
          <w:p w14:paraId="00F45E2D"/>
        </w:tc>
        <w:tc>
          <w:tcPr>
            <w:tcW w:w="1187" w:type="dxa"/>
          </w:tcPr>
          <w:p w14:paraId="2D7E0B1B"/>
        </w:tc>
        <w:tc>
          <w:tcPr>
            <w:tcW w:w="1187" w:type="dxa"/>
          </w:tcPr>
          <w:p w14:paraId="120E8FD3"/>
        </w:tc>
      </w:tr>
      <w:tr w14:paraId="2D246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001835">
            <w:pPr>
              <w:pStyle w:val="13"/>
            </w:pPr>
            <w:r>
              <w:t>3</w:t>
            </w:r>
          </w:p>
        </w:tc>
        <w:tc>
          <w:tcPr>
            <w:tcW w:w="1187" w:type="dxa"/>
          </w:tcPr>
          <w:p w14:paraId="4DF5BC46"/>
        </w:tc>
        <w:tc>
          <w:tcPr>
            <w:tcW w:w="1187" w:type="dxa"/>
          </w:tcPr>
          <w:p w14:paraId="52478390"/>
        </w:tc>
        <w:tc>
          <w:tcPr>
            <w:tcW w:w="1187" w:type="dxa"/>
          </w:tcPr>
          <w:p w14:paraId="594116B8"/>
        </w:tc>
        <w:tc>
          <w:tcPr>
            <w:tcW w:w="1187" w:type="dxa"/>
          </w:tcPr>
          <w:p w14:paraId="5177DB97"/>
        </w:tc>
        <w:tc>
          <w:tcPr>
            <w:tcW w:w="1187" w:type="dxa"/>
          </w:tcPr>
          <w:p w14:paraId="1B239567"/>
        </w:tc>
        <w:tc>
          <w:tcPr>
            <w:tcW w:w="1187" w:type="dxa"/>
          </w:tcPr>
          <w:p w14:paraId="6B3F3EF2"/>
        </w:tc>
      </w:tr>
      <w:tr w14:paraId="38DEA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80B8D0E">
            <w:pPr>
              <w:pStyle w:val="13"/>
            </w:pPr>
            <w:r>
              <w:t>4</w:t>
            </w:r>
          </w:p>
        </w:tc>
        <w:tc>
          <w:tcPr>
            <w:tcW w:w="1187" w:type="dxa"/>
          </w:tcPr>
          <w:p w14:paraId="7B03FC52"/>
        </w:tc>
        <w:tc>
          <w:tcPr>
            <w:tcW w:w="1187" w:type="dxa"/>
          </w:tcPr>
          <w:p w14:paraId="5D850C23"/>
        </w:tc>
        <w:tc>
          <w:tcPr>
            <w:tcW w:w="1187" w:type="dxa"/>
          </w:tcPr>
          <w:p w14:paraId="5E279A22"/>
        </w:tc>
        <w:tc>
          <w:tcPr>
            <w:tcW w:w="1187" w:type="dxa"/>
          </w:tcPr>
          <w:p w14:paraId="4D259294"/>
        </w:tc>
        <w:tc>
          <w:tcPr>
            <w:tcW w:w="1187" w:type="dxa"/>
          </w:tcPr>
          <w:p w14:paraId="50E74742"/>
        </w:tc>
        <w:tc>
          <w:tcPr>
            <w:tcW w:w="1187" w:type="dxa"/>
          </w:tcPr>
          <w:p w14:paraId="3311F0F9"/>
        </w:tc>
      </w:tr>
      <w:tr w14:paraId="42DEA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750040">
            <w:pPr>
              <w:pStyle w:val="13"/>
            </w:pPr>
            <w:r>
              <w:t>5</w:t>
            </w:r>
          </w:p>
        </w:tc>
        <w:tc>
          <w:tcPr>
            <w:tcW w:w="1187" w:type="dxa"/>
          </w:tcPr>
          <w:p w14:paraId="5544CC20"/>
        </w:tc>
        <w:tc>
          <w:tcPr>
            <w:tcW w:w="1187" w:type="dxa"/>
          </w:tcPr>
          <w:p w14:paraId="0EBBF4E6"/>
        </w:tc>
        <w:tc>
          <w:tcPr>
            <w:tcW w:w="1187" w:type="dxa"/>
          </w:tcPr>
          <w:p w14:paraId="413A1031"/>
        </w:tc>
        <w:tc>
          <w:tcPr>
            <w:tcW w:w="1187" w:type="dxa"/>
          </w:tcPr>
          <w:p w14:paraId="2CFB90FD"/>
        </w:tc>
        <w:tc>
          <w:tcPr>
            <w:tcW w:w="1187" w:type="dxa"/>
          </w:tcPr>
          <w:p w14:paraId="6D1F310E"/>
        </w:tc>
        <w:tc>
          <w:tcPr>
            <w:tcW w:w="1187" w:type="dxa"/>
          </w:tcPr>
          <w:p w14:paraId="3706B622"/>
        </w:tc>
      </w:tr>
      <w:tr w14:paraId="4DD0A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8862FD">
            <w:pPr>
              <w:pStyle w:val="13"/>
            </w:pPr>
            <w:r>
              <w:t>6</w:t>
            </w:r>
          </w:p>
        </w:tc>
        <w:tc>
          <w:tcPr>
            <w:tcW w:w="1187" w:type="dxa"/>
          </w:tcPr>
          <w:p w14:paraId="0A30ADC0"/>
        </w:tc>
        <w:tc>
          <w:tcPr>
            <w:tcW w:w="1187" w:type="dxa"/>
          </w:tcPr>
          <w:p w14:paraId="2C1146F2"/>
        </w:tc>
        <w:tc>
          <w:tcPr>
            <w:tcW w:w="1187" w:type="dxa"/>
          </w:tcPr>
          <w:p w14:paraId="6588D364"/>
        </w:tc>
        <w:tc>
          <w:tcPr>
            <w:tcW w:w="1187" w:type="dxa"/>
          </w:tcPr>
          <w:p w14:paraId="2B60CC11"/>
        </w:tc>
        <w:tc>
          <w:tcPr>
            <w:tcW w:w="1187" w:type="dxa"/>
          </w:tcPr>
          <w:p w14:paraId="7ADAE4CA"/>
        </w:tc>
        <w:tc>
          <w:tcPr>
            <w:tcW w:w="1187" w:type="dxa"/>
          </w:tcPr>
          <w:p w14:paraId="45D82605"/>
        </w:tc>
      </w:tr>
      <w:tr w14:paraId="03EE1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AF086BF">
            <w:pPr>
              <w:pStyle w:val="13"/>
            </w:pPr>
            <w:r>
              <w:t>7</w:t>
            </w:r>
          </w:p>
        </w:tc>
        <w:tc>
          <w:tcPr>
            <w:tcW w:w="1187" w:type="dxa"/>
          </w:tcPr>
          <w:p w14:paraId="105528AA"/>
        </w:tc>
        <w:tc>
          <w:tcPr>
            <w:tcW w:w="1187" w:type="dxa"/>
          </w:tcPr>
          <w:p w14:paraId="69612403"/>
        </w:tc>
        <w:tc>
          <w:tcPr>
            <w:tcW w:w="1187" w:type="dxa"/>
          </w:tcPr>
          <w:p w14:paraId="085F3D47"/>
        </w:tc>
        <w:tc>
          <w:tcPr>
            <w:tcW w:w="1187" w:type="dxa"/>
          </w:tcPr>
          <w:p w14:paraId="073B5262"/>
        </w:tc>
        <w:tc>
          <w:tcPr>
            <w:tcW w:w="1187" w:type="dxa"/>
          </w:tcPr>
          <w:p w14:paraId="56EDA7D1"/>
        </w:tc>
        <w:tc>
          <w:tcPr>
            <w:tcW w:w="1187" w:type="dxa"/>
          </w:tcPr>
          <w:p w14:paraId="5789F426"/>
        </w:tc>
      </w:tr>
      <w:tr w14:paraId="540B9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D1929E">
            <w:pPr>
              <w:pStyle w:val="13"/>
            </w:pPr>
            <w:r>
              <w:t>8</w:t>
            </w:r>
          </w:p>
        </w:tc>
        <w:tc>
          <w:tcPr>
            <w:tcW w:w="1187" w:type="dxa"/>
          </w:tcPr>
          <w:p w14:paraId="7D9EB0FF"/>
        </w:tc>
        <w:tc>
          <w:tcPr>
            <w:tcW w:w="1187" w:type="dxa"/>
          </w:tcPr>
          <w:p w14:paraId="1A8BBE0D"/>
        </w:tc>
        <w:tc>
          <w:tcPr>
            <w:tcW w:w="1187" w:type="dxa"/>
          </w:tcPr>
          <w:p w14:paraId="3B8F05B7"/>
        </w:tc>
        <w:tc>
          <w:tcPr>
            <w:tcW w:w="1187" w:type="dxa"/>
          </w:tcPr>
          <w:p w14:paraId="07551578"/>
        </w:tc>
        <w:tc>
          <w:tcPr>
            <w:tcW w:w="1187" w:type="dxa"/>
          </w:tcPr>
          <w:p w14:paraId="37566515"/>
        </w:tc>
        <w:tc>
          <w:tcPr>
            <w:tcW w:w="1187" w:type="dxa"/>
          </w:tcPr>
          <w:p w14:paraId="660F1E1B"/>
        </w:tc>
      </w:tr>
      <w:tr w14:paraId="7C52A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BA3513">
            <w:pPr>
              <w:pStyle w:val="13"/>
            </w:pPr>
            <w:r>
              <w:t>9</w:t>
            </w:r>
          </w:p>
        </w:tc>
        <w:tc>
          <w:tcPr>
            <w:tcW w:w="1187" w:type="dxa"/>
          </w:tcPr>
          <w:p w14:paraId="62152161"/>
        </w:tc>
        <w:tc>
          <w:tcPr>
            <w:tcW w:w="1187" w:type="dxa"/>
          </w:tcPr>
          <w:p w14:paraId="65FCEE7B"/>
        </w:tc>
        <w:tc>
          <w:tcPr>
            <w:tcW w:w="1187" w:type="dxa"/>
          </w:tcPr>
          <w:p w14:paraId="3087DE46"/>
        </w:tc>
        <w:tc>
          <w:tcPr>
            <w:tcW w:w="1187" w:type="dxa"/>
          </w:tcPr>
          <w:p w14:paraId="78DCCAFC"/>
        </w:tc>
        <w:tc>
          <w:tcPr>
            <w:tcW w:w="1187" w:type="dxa"/>
          </w:tcPr>
          <w:p w14:paraId="66F449B7"/>
        </w:tc>
        <w:tc>
          <w:tcPr>
            <w:tcW w:w="1187" w:type="dxa"/>
          </w:tcPr>
          <w:p w14:paraId="201DAF1F"/>
        </w:tc>
      </w:tr>
      <w:tr w14:paraId="15A81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2BA2A27">
            <w:pPr>
              <w:pStyle w:val="13"/>
            </w:pPr>
            <w:r>
              <w:t xml:space="preserve"> ……</w:t>
            </w:r>
          </w:p>
        </w:tc>
        <w:tc>
          <w:tcPr>
            <w:tcW w:w="1187" w:type="dxa"/>
          </w:tcPr>
          <w:p w14:paraId="67D28D57"/>
        </w:tc>
        <w:tc>
          <w:tcPr>
            <w:tcW w:w="1187" w:type="dxa"/>
          </w:tcPr>
          <w:p w14:paraId="7507806E"/>
        </w:tc>
        <w:tc>
          <w:tcPr>
            <w:tcW w:w="1187" w:type="dxa"/>
          </w:tcPr>
          <w:p w14:paraId="244EFA94"/>
        </w:tc>
        <w:tc>
          <w:tcPr>
            <w:tcW w:w="1187" w:type="dxa"/>
          </w:tcPr>
          <w:p w14:paraId="51078150"/>
        </w:tc>
        <w:tc>
          <w:tcPr>
            <w:tcW w:w="1187" w:type="dxa"/>
          </w:tcPr>
          <w:p w14:paraId="24FC2316"/>
        </w:tc>
        <w:tc>
          <w:tcPr>
            <w:tcW w:w="1187" w:type="dxa"/>
          </w:tcPr>
          <w:p w14:paraId="6FEF1B81"/>
        </w:tc>
      </w:tr>
    </w:tbl>
    <w:p w14:paraId="5C3B4895">
      <w:pPr>
        <w:pStyle w:val="13"/>
        <w:ind w:firstLine="480"/>
      </w:pPr>
      <w:r>
        <w:t>说明：</w:t>
      </w:r>
    </w:p>
    <w:p w14:paraId="7D3A1979">
      <w:pPr>
        <w:pStyle w:val="13"/>
        <w:ind w:firstLine="480"/>
      </w:pPr>
      <w:r>
        <w:t>1. “采购文件规定的商务条件”项下填写的内容应与招标文件中采购需求的 “商务要求”的内容保持一致。</w:t>
      </w:r>
    </w:p>
    <w:p w14:paraId="53E00869">
      <w:pPr>
        <w:pStyle w:val="13"/>
        <w:ind w:firstLine="480"/>
      </w:pPr>
      <w:r>
        <w:t>2. 投标人应当如实填写上表“</w:t>
      </w:r>
      <w:r>
        <w:rPr>
          <w:rFonts w:hint="eastAsia"/>
          <w:lang w:eastAsia="zh-CN"/>
        </w:rPr>
        <w:t>磋商文件</w:t>
      </w:r>
      <w:r>
        <w:t>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F09AA21">
      <w:pPr>
        <w:pStyle w:val="13"/>
        <w:ind w:firstLine="480"/>
      </w:pPr>
      <w:r>
        <w:t>3. 参数性质栏目按招标文件有标注的“★</w:t>
      </w:r>
      <w:r>
        <w:rPr>
          <w:rFonts w:hint="eastAsia"/>
          <w:lang w:eastAsia="zh-CN"/>
        </w:rPr>
        <w:t>”“</w:t>
      </w:r>
      <w: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61966176">
      <w:pPr>
        <w:pStyle w:val="13"/>
        <w:ind w:firstLine="480"/>
      </w:pPr>
      <w:r>
        <w:t>4. “是否偏离”项下应按下列规定填写：优于的，填写“正偏离”；符合的，填写“无偏离”；低于的，填写“负偏离”。</w:t>
      </w:r>
    </w:p>
    <w:p w14:paraId="421ABC4D">
      <w:pPr>
        <w:pStyle w:val="13"/>
        <w:ind w:firstLine="480"/>
      </w:pPr>
      <w:r>
        <w:t>5.“备注”处可填写偏离情况的说明。</w:t>
      </w:r>
    </w:p>
    <w:p w14:paraId="52117499">
      <w:pPr>
        <w:pStyle w:val="13"/>
        <w:ind w:firstLine="480"/>
      </w:pPr>
      <w:r>
        <w:t xml:space="preserve">  </w:t>
      </w:r>
    </w:p>
    <w:p w14:paraId="1890760C">
      <w:pPr>
        <w:pStyle w:val="13"/>
        <w:pageBreakBefore/>
        <w:outlineLvl w:val="2"/>
      </w:pPr>
      <w:r>
        <w:rPr>
          <w:b/>
          <w:sz w:val="28"/>
        </w:rPr>
        <w:t>格式十</w:t>
      </w:r>
      <w:r>
        <w:rPr>
          <w:rFonts w:hint="eastAsia"/>
          <w:b/>
          <w:sz w:val="28"/>
          <w:lang w:val="en-US" w:eastAsia="zh-CN"/>
        </w:rPr>
        <w:t>二</w:t>
      </w:r>
      <w:r>
        <w:rPr>
          <w:b/>
          <w:sz w:val="28"/>
        </w:rPr>
        <w:t>：</w:t>
      </w:r>
    </w:p>
    <w:p w14:paraId="738690A1">
      <w:pPr>
        <w:pStyle w:val="13"/>
        <w:ind w:firstLine="480"/>
      </w:pPr>
      <w:r>
        <w:t>（以下格式文件由供应商根据需要选用）</w:t>
      </w:r>
    </w:p>
    <w:p w14:paraId="3E681961">
      <w:pPr>
        <w:pStyle w:val="13"/>
        <w:jc w:val="center"/>
        <w:outlineLvl w:val="3"/>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6885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D358CB">
            <w:pPr>
              <w:pStyle w:val="13"/>
            </w:pPr>
            <w:r>
              <w:t>序号</w:t>
            </w:r>
          </w:p>
        </w:tc>
        <w:tc>
          <w:tcPr>
            <w:tcW w:w="2076" w:type="dxa"/>
          </w:tcPr>
          <w:p w14:paraId="6FB3F7E1">
            <w:pPr>
              <w:pStyle w:val="13"/>
            </w:pPr>
            <w:r>
              <w:t xml:space="preserve"> 拟定时间安排</w:t>
            </w:r>
          </w:p>
        </w:tc>
        <w:tc>
          <w:tcPr>
            <w:tcW w:w="2076" w:type="dxa"/>
          </w:tcPr>
          <w:p w14:paraId="6DC19478">
            <w:pPr>
              <w:pStyle w:val="13"/>
            </w:pPr>
            <w:r>
              <w:t xml:space="preserve"> 计划完成的工作内容</w:t>
            </w:r>
          </w:p>
        </w:tc>
        <w:tc>
          <w:tcPr>
            <w:tcW w:w="2076" w:type="dxa"/>
          </w:tcPr>
          <w:p w14:paraId="3EB33EF4">
            <w:pPr>
              <w:pStyle w:val="13"/>
            </w:pPr>
            <w:r>
              <w:t xml:space="preserve"> 实施方建议或要求</w:t>
            </w:r>
          </w:p>
        </w:tc>
      </w:tr>
      <w:tr w14:paraId="1CB8B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659CD">
            <w:pPr>
              <w:pStyle w:val="13"/>
            </w:pPr>
            <w:r>
              <w:t xml:space="preserve"> 1</w:t>
            </w:r>
          </w:p>
        </w:tc>
        <w:tc>
          <w:tcPr>
            <w:tcW w:w="2076" w:type="dxa"/>
          </w:tcPr>
          <w:p w14:paraId="36F1B8B3">
            <w:pPr>
              <w:pStyle w:val="13"/>
            </w:pPr>
            <w:r>
              <w:t xml:space="preserve"> 拟定___年___月___日</w:t>
            </w:r>
          </w:p>
        </w:tc>
        <w:tc>
          <w:tcPr>
            <w:tcW w:w="2076" w:type="dxa"/>
          </w:tcPr>
          <w:p w14:paraId="23AC45FD">
            <w:pPr>
              <w:pStyle w:val="13"/>
            </w:pPr>
            <w:r>
              <w:t xml:space="preserve"> 签订合同并生效</w:t>
            </w:r>
          </w:p>
        </w:tc>
        <w:tc>
          <w:tcPr>
            <w:tcW w:w="2076" w:type="dxa"/>
          </w:tcPr>
          <w:p w14:paraId="50EF4D4B"/>
        </w:tc>
      </w:tr>
      <w:tr w14:paraId="322A7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0D9765">
            <w:pPr>
              <w:pStyle w:val="13"/>
            </w:pPr>
            <w:r>
              <w:t xml:space="preserve"> 2</w:t>
            </w:r>
          </w:p>
        </w:tc>
        <w:tc>
          <w:tcPr>
            <w:tcW w:w="2076" w:type="dxa"/>
          </w:tcPr>
          <w:p w14:paraId="5414527C">
            <w:pPr>
              <w:pStyle w:val="13"/>
            </w:pPr>
            <w:r>
              <w:t xml:space="preserve"> ___月___日—___月___日</w:t>
            </w:r>
          </w:p>
        </w:tc>
        <w:tc>
          <w:tcPr>
            <w:tcW w:w="2076" w:type="dxa"/>
          </w:tcPr>
          <w:p w14:paraId="5529D3FE"/>
        </w:tc>
        <w:tc>
          <w:tcPr>
            <w:tcW w:w="2076" w:type="dxa"/>
          </w:tcPr>
          <w:p w14:paraId="6369F1FA"/>
        </w:tc>
      </w:tr>
      <w:tr w14:paraId="18C10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C276DA">
            <w:pPr>
              <w:pStyle w:val="13"/>
            </w:pPr>
            <w:r>
              <w:t xml:space="preserve"> 3</w:t>
            </w:r>
          </w:p>
        </w:tc>
        <w:tc>
          <w:tcPr>
            <w:tcW w:w="2076" w:type="dxa"/>
          </w:tcPr>
          <w:p w14:paraId="72D76A08">
            <w:pPr>
              <w:pStyle w:val="13"/>
            </w:pPr>
            <w:r>
              <w:t xml:space="preserve"> ___月___日—___月___日</w:t>
            </w:r>
          </w:p>
        </w:tc>
        <w:tc>
          <w:tcPr>
            <w:tcW w:w="2076" w:type="dxa"/>
          </w:tcPr>
          <w:p w14:paraId="0C406B2D"/>
        </w:tc>
        <w:tc>
          <w:tcPr>
            <w:tcW w:w="2076" w:type="dxa"/>
          </w:tcPr>
          <w:p w14:paraId="18B1C944"/>
        </w:tc>
      </w:tr>
      <w:tr w14:paraId="28B61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D5AB0D">
            <w:pPr>
              <w:pStyle w:val="13"/>
            </w:pPr>
            <w:r>
              <w:t xml:space="preserve"> 4</w:t>
            </w:r>
          </w:p>
        </w:tc>
        <w:tc>
          <w:tcPr>
            <w:tcW w:w="2076" w:type="dxa"/>
          </w:tcPr>
          <w:p w14:paraId="2CBCD0D9">
            <w:pPr>
              <w:pStyle w:val="13"/>
            </w:pPr>
            <w:r>
              <w:t xml:space="preserve"> ___月___日—___月___日</w:t>
            </w:r>
          </w:p>
        </w:tc>
        <w:tc>
          <w:tcPr>
            <w:tcW w:w="2076" w:type="dxa"/>
          </w:tcPr>
          <w:p w14:paraId="2BF4F0B2">
            <w:pPr>
              <w:pStyle w:val="13"/>
            </w:pPr>
            <w:r>
              <w:t xml:space="preserve"> 质保期</w:t>
            </w:r>
          </w:p>
        </w:tc>
        <w:tc>
          <w:tcPr>
            <w:tcW w:w="2076" w:type="dxa"/>
          </w:tcPr>
          <w:p w14:paraId="25A7ABA8"/>
        </w:tc>
      </w:tr>
    </w:tbl>
    <w:p w14:paraId="1A5E6723">
      <w:pPr>
        <w:pStyle w:val="13"/>
        <w:ind w:firstLine="480"/>
      </w:pPr>
      <w:r>
        <w:t xml:space="preserve">  </w:t>
      </w:r>
    </w:p>
    <w:p w14:paraId="23F462B6">
      <w:pPr>
        <w:pStyle w:val="13"/>
        <w:pageBreakBefore/>
        <w:outlineLvl w:val="2"/>
      </w:pPr>
      <w:r>
        <w:rPr>
          <w:b/>
          <w:sz w:val="28"/>
        </w:rPr>
        <w:t>格式十</w:t>
      </w:r>
      <w:r>
        <w:rPr>
          <w:rFonts w:hint="eastAsia"/>
          <w:b/>
          <w:sz w:val="28"/>
          <w:lang w:val="en-US" w:eastAsia="zh-CN"/>
        </w:rPr>
        <w:t>三</w:t>
      </w:r>
      <w:r>
        <w:rPr>
          <w:b/>
          <w:sz w:val="28"/>
        </w:rPr>
        <w:t>：</w:t>
      </w:r>
    </w:p>
    <w:p w14:paraId="2020AF33">
      <w:pPr>
        <w:pStyle w:val="13"/>
        <w:ind w:firstLine="480"/>
      </w:pPr>
      <w:r>
        <w:t>（以下格式文件由供应商根据需要选用）</w:t>
      </w:r>
    </w:p>
    <w:p w14:paraId="1B459B09">
      <w:pPr>
        <w:pStyle w:val="13"/>
        <w:jc w:val="center"/>
        <w:outlineLvl w:val="3"/>
      </w:pPr>
      <w:r>
        <w:rPr>
          <w:b/>
          <w:sz w:val="24"/>
        </w:rPr>
        <w:t>各类证明材料</w:t>
      </w:r>
    </w:p>
    <w:p w14:paraId="45BD1729">
      <w:pPr>
        <w:pStyle w:val="13"/>
        <w:ind w:firstLine="480"/>
      </w:pPr>
      <w:r>
        <w:t>1.招标文件要求提供的其他资料。</w:t>
      </w:r>
    </w:p>
    <w:p w14:paraId="092BEF74">
      <w:pPr>
        <w:pStyle w:val="13"/>
        <w:ind w:firstLine="480"/>
      </w:pPr>
      <w:r>
        <w:t>2.投标人认为需提供的其他资料。</w:t>
      </w:r>
    </w:p>
    <w:p w14:paraId="6A142029">
      <w:pPr>
        <w:pStyle w:val="13"/>
        <w:ind w:firstLine="480"/>
      </w:pPr>
      <w:r>
        <w:t xml:space="preserve">  </w:t>
      </w:r>
    </w:p>
    <w:p w14:paraId="258C1360">
      <w:pPr>
        <w:pStyle w:val="13"/>
      </w:pPr>
      <w:r>
        <w:t xml:space="preserve">  </w:t>
      </w:r>
    </w:p>
    <w:p w14:paraId="0B3994F9">
      <w:pPr>
        <w:pStyle w:val="13"/>
        <w:pageBreakBefore/>
        <w:outlineLvl w:val="2"/>
      </w:pPr>
      <w:r>
        <w:rPr>
          <w:b/>
          <w:sz w:val="28"/>
        </w:rPr>
        <w:t>格式十</w:t>
      </w:r>
      <w:r>
        <w:rPr>
          <w:rFonts w:hint="eastAsia"/>
          <w:b/>
          <w:sz w:val="28"/>
          <w:lang w:val="en-US" w:eastAsia="zh-CN"/>
        </w:rPr>
        <w:t>四</w:t>
      </w:r>
      <w:r>
        <w:rPr>
          <w:b/>
          <w:sz w:val="28"/>
        </w:rPr>
        <w:t>：</w:t>
      </w:r>
    </w:p>
    <w:p w14:paraId="1D5F2DDA">
      <w:pPr>
        <w:pStyle w:val="13"/>
        <w:ind w:firstLine="480"/>
      </w:pPr>
      <w:r>
        <w:t>（以下格式文件由供应商根据需要选用）</w:t>
      </w:r>
    </w:p>
    <w:p w14:paraId="27EB2A31">
      <w:pPr>
        <w:pStyle w:val="13"/>
        <w:jc w:val="center"/>
        <w:outlineLvl w:val="3"/>
      </w:pPr>
      <w:r>
        <w:rPr>
          <w:b/>
          <w:sz w:val="24"/>
        </w:rPr>
        <w:t>需要采购人提供的附加条件</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59C4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8A4F09">
            <w:pPr>
              <w:pStyle w:val="13"/>
            </w:pPr>
            <w:r>
              <w:t>序号</w:t>
            </w:r>
          </w:p>
        </w:tc>
        <w:tc>
          <w:tcPr>
            <w:tcW w:w="4153" w:type="dxa"/>
          </w:tcPr>
          <w:p w14:paraId="596715F8">
            <w:pPr>
              <w:pStyle w:val="13"/>
            </w:pPr>
            <w:r>
              <w:t>投标人需要采购人提供的附加条件</w:t>
            </w:r>
          </w:p>
        </w:tc>
      </w:tr>
      <w:tr w14:paraId="69B92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3ECBD2">
            <w:pPr>
              <w:pStyle w:val="13"/>
            </w:pPr>
            <w:r>
              <w:t xml:space="preserve"> 1</w:t>
            </w:r>
          </w:p>
        </w:tc>
        <w:tc>
          <w:tcPr>
            <w:tcW w:w="4153" w:type="dxa"/>
          </w:tcPr>
          <w:p w14:paraId="0CAA4E67"/>
        </w:tc>
      </w:tr>
      <w:tr w14:paraId="3E0FB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57F5CA">
            <w:pPr>
              <w:pStyle w:val="13"/>
            </w:pPr>
            <w:r>
              <w:t xml:space="preserve"> 2</w:t>
            </w:r>
          </w:p>
        </w:tc>
        <w:tc>
          <w:tcPr>
            <w:tcW w:w="4153" w:type="dxa"/>
          </w:tcPr>
          <w:p w14:paraId="6311BB67"/>
        </w:tc>
      </w:tr>
      <w:tr w14:paraId="113E9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B82E82">
            <w:pPr>
              <w:pStyle w:val="13"/>
            </w:pPr>
            <w:r>
              <w:t xml:space="preserve"> 3</w:t>
            </w:r>
          </w:p>
        </w:tc>
        <w:tc>
          <w:tcPr>
            <w:tcW w:w="4153" w:type="dxa"/>
          </w:tcPr>
          <w:p w14:paraId="5A3F5E6C"/>
        </w:tc>
      </w:tr>
    </w:tbl>
    <w:p w14:paraId="5D055800">
      <w:pPr>
        <w:pStyle w:val="13"/>
        <w:ind w:firstLine="480"/>
      </w:pPr>
      <w:r>
        <w:t>注：投标人完成本项目需要采购人配合或提供的条件必须在上表列出，否则将视为投标人同意按现有条件完成本项目。如上表所列附加条件含有采购人不能接受的，将被视为投标无效。</w:t>
      </w:r>
    </w:p>
    <w:p w14:paraId="5A7F0CC1">
      <w:pPr>
        <w:pStyle w:val="13"/>
        <w:ind w:firstLine="480"/>
      </w:pPr>
      <w:r>
        <w:t xml:space="preserve">  </w:t>
      </w:r>
    </w:p>
    <w:p w14:paraId="176D85F1">
      <w:pPr>
        <w:pStyle w:val="13"/>
        <w:pageBreakBefore/>
        <w:outlineLvl w:val="2"/>
      </w:pPr>
      <w:r>
        <w:rPr>
          <w:b/>
          <w:sz w:val="28"/>
        </w:rPr>
        <w:t>格式十</w:t>
      </w:r>
      <w:r>
        <w:rPr>
          <w:rFonts w:hint="eastAsia"/>
          <w:b/>
          <w:sz w:val="28"/>
          <w:lang w:val="en-US" w:eastAsia="zh-CN"/>
        </w:rPr>
        <w:t>五</w:t>
      </w:r>
      <w:r>
        <w:rPr>
          <w:b/>
          <w:sz w:val="28"/>
        </w:rPr>
        <w:t>：</w:t>
      </w:r>
    </w:p>
    <w:p w14:paraId="59860DC1">
      <w:pPr>
        <w:pStyle w:val="13"/>
        <w:ind w:firstLine="480"/>
      </w:pPr>
      <w:r>
        <w:t>（以下格式文件由供应商根据需要选用）</w:t>
      </w:r>
    </w:p>
    <w:p w14:paraId="19F77545">
      <w:pPr>
        <w:pStyle w:val="13"/>
        <w:jc w:val="center"/>
        <w:outlineLvl w:val="3"/>
      </w:pPr>
      <w:r>
        <w:rPr>
          <w:b/>
          <w:sz w:val="24"/>
        </w:rPr>
        <w:t>询问函、质疑函、投诉书格式</w:t>
      </w:r>
    </w:p>
    <w:p w14:paraId="005683EF">
      <w:pPr>
        <w:pStyle w:val="13"/>
        <w:ind w:firstLine="480"/>
      </w:pPr>
      <w:r>
        <w:t>说明：本部分格式为投标人提交询问函、质疑函、投诉函时使用，不属于</w:t>
      </w:r>
      <w:r>
        <w:rPr>
          <w:rFonts w:hint="eastAsia"/>
          <w:lang w:eastAsia="zh-CN"/>
        </w:rPr>
        <w:t>磋商文件</w:t>
      </w:r>
      <w:r>
        <w:t>格式的组成部分。</w:t>
      </w:r>
    </w:p>
    <w:p w14:paraId="1BE55D27">
      <w:pPr>
        <w:pStyle w:val="13"/>
        <w:jc w:val="center"/>
        <w:outlineLvl w:val="3"/>
      </w:pPr>
      <w:r>
        <w:rPr>
          <w:b/>
          <w:sz w:val="24"/>
        </w:rPr>
        <w:t>询问函</w:t>
      </w:r>
    </w:p>
    <w:p w14:paraId="7EB1C81E">
      <w:pPr>
        <w:pStyle w:val="13"/>
        <w:ind w:firstLine="480"/>
        <w:rPr>
          <w:rFonts w:hint="default" w:eastAsiaTheme="minorEastAsia"/>
          <w:lang w:val="en-US" w:eastAsia="zh-CN"/>
        </w:rPr>
      </w:pPr>
      <w:r>
        <w:rPr>
          <w:rFonts w:hint="eastAsia"/>
          <w:lang w:eastAsia="zh-CN"/>
        </w:rPr>
        <w:t>广东省生殖科学研究所（广东省生殖医院）</w:t>
      </w:r>
      <w:r>
        <w:rPr>
          <w:rFonts w:hint="eastAsia"/>
          <w:lang w:val="en-US" w:eastAsia="zh-CN"/>
        </w:rPr>
        <w:t>：</w:t>
      </w:r>
    </w:p>
    <w:p w14:paraId="42A60DC0">
      <w:pPr>
        <w:pStyle w:val="13"/>
        <w:ind w:firstLine="480"/>
      </w:pPr>
      <w:r>
        <w:t>我单位已登记并准备参与“</w:t>
      </w:r>
      <w:r>
        <w:rPr>
          <w:rFonts w:hint="eastAsia"/>
          <w:lang w:eastAsia="zh-CN"/>
        </w:rPr>
        <w:t>广东省生殖科学研究所（广东省生殖医院）</w:t>
      </w:r>
      <w:r>
        <w:t>印刷服务采购”项目的投标活动，现有以下</w:t>
      </w:r>
      <w:r>
        <w:rPr>
          <w:rFonts w:hint="eastAsia"/>
          <w:lang w:eastAsia="zh-CN"/>
        </w:rPr>
        <w:t>几项</w:t>
      </w:r>
      <w:r>
        <w:t>内容（或条款）存在疑问（或无法理解），特提出询问。</w:t>
      </w:r>
    </w:p>
    <w:p w14:paraId="2B045448">
      <w:pPr>
        <w:pStyle w:val="13"/>
        <w:ind w:firstLine="480"/>
      </w:pPr>
      <w:r>
        <w:t>一、_____________________（事项一）</w:t>
      </w:r>
    </w:p>
    <w:p w14:paraId="74FAF9D1">
      <w:pPr>
        <w:pStyle w:val="13"/>
        <w:ind w:firstLine="480"/>
      </w:pPr>
      <w:r>
        <w:t>（1）____________________（问题或条款内容）</w:t>
      </w:r>
    </w:p>
    <w:p w14:paraId="6CCC2308">
      <w:pPr>
        <w:pStyle w:val="13"/>
        <w:ind w:firstLine="480"/>
      </w:pPr>
      <w:r>
        <w:t>（2）____________________（说明疑问或无法理解原因）</w:t>
      </w:r>
    </w:p>
    <w:p w14:paraId="0BAACDE7">
      <w:pPr>
        <w:pStyle w:val="13"/>
        <w:ind w:firstLine="480"/>
      </w:pPr>
      <w:r>
        <w:t>（3）____________________（建议）</w:t>
      </w:r>
    </w:p>
    <w:p w14:paraId="56D8CF23">
      <w:pPr>
        <w:pStyle w:val="13"/>
        <w:ind w:firstLine="480"/>
      </w:pPr>
      <w:r>
        <w:t>二、_____________________（事项二）</w:t>
      </w:r>
    </w:p>
    <w:p w14:paraId="129BB332">
      <w:pPr>
        <w:pStyle w:val="13"/>
        <w:ind w:firstLine="480"/>
      </w:pPr>
      <w:r>
        <w:t>...</w:t>
      </w:r>
    </w:p>
    <w:p w14:paraId="3AA83A20">
      <w:pPr>
        <w:pStyle w:val="13"/>
        <w:ind w:firstLine="480"/>
      </w:pPr>
      <w:r>
        <w:t>随附相关证明材料如下：（目录）</w:t>
      </w:r>
    </w:p>
    <w:p w14:paraId="02D27F19">
      <w:pPr>
        <w:pStyle w:val="13"/>
      </w:pPr>
      <w:r>
        <w:t>询问人（公章）：_____________________</w:t>
      </w:r>
    </w:p>
    <w:p w14:paraId="5082D655">
      <w:pPr>
        <w:pStyle w:val="13"/>
      </w:pPr>
      <w:r>
        <w:t>法定代表人或授权代表（签字或盖章）：_____________________</w:t>
      </w:r>
    </w:p>
    <w:p w14:paraId="1A5B8DB5">
      <w:pPr>
        <w:pStyle w:val="13"/>
      </w:pPr>
      <w:r>
        <w:t>地址/邮编：_____________________</w:t>
      </w:r>
    </w:p>
    <w:p w14:paraId="3EEE0B36">
      <w:pPr>
        <w:pStyle w:val="13"/>
      </w:pPr>
      <w:r>
        <w:t>电话/传真：_____________________</w:t>
      </w:r>
    </w:p>
    <w:p w14:paraId="4B34842A">
      <w:pPr>
        <w:pStyle w:val="13"/>
      </w:pPr>
      <w:r>
        <w:t>日期： 年 月 日</w:t>
      </w:r>
    </w:p>
    <w:p w14:paraId="523713CD">
      <w:pPr>
        <w:pStyle w:val="13"/>
        <w:ind w:firstLine="480"/>
      </w:pPr>
      <w:r>
        <w:t xml:space="preserve">  </w:t>
      </w:r>
    </w:p>
    <w:p w14:paraId="33E5DD9B">
      <w:pPr>
        <w:pStyle w:val="13"/>
        <w:jc w:val="center"/>
        <w:outlineLvl w:val="3"/>
      </w:pPr>
      <w:r>
        <w:rPr>
          <w:b/>
          <w:sz w:val="24"/>
        </w:rPr>
        <w:t>质疑函</w:t>
      </w:r>
    </w:p>
    <w:p w14:paraId="541334AE">
      <w:pPr>
        <w:pStyle w:val="13"/>
        <w:ind w:firstLine="480"/>
      </w:pPr>
      <w:r>
        <w:t>一、质疑供应商基本信息</w:t>
      </w:r>
    </w:p>
    <w:p w14:paraId="6DBCA824">
      <w:pPr>
        <w:pStyle w:val="13"/>
        <w:ind w:firstLine="480"/>
      </w:pPr>
      <w:r>
        <w:t>质疑供应商：</w:t>
      </w:r>
    </w:p>
    <w:p w14:paraId="2B186F96">
      <w:pPr>
        <w:pStyle w:val="13"/>
        <w:ind w:firstLine="480"/>
      </w:pPr>
      <w:r>
        <w:t>地址：_____________________邮编：_____________________</w:t>
      </w:r>
    </w:p>
    <w:p w14:paraId="394945AE">
      <w:pPr>
        <w:pStyle w:val="13"/>
        <w:ind w:firstLine="480"/>
      </w:pPr>
      <w:r>
        <w:t>联系：_____________________联系电话：_____________________</w:t>
      </w:r>
    </w:p>
    <w:p w14:paraId="57710076">
      <w:pPr>
        <w:pStyle w:val="13"/>
        <w:ind w:firstLine="480"/>
      </w:pPr>
      <w:r>
        <w:t>授权代表：_____________________</w:t>
      </w:r>
    </w:p>
    <w:p w14:paraId="711A85F4">
      <w:pPr>
        <w:pStyle w:val="13"/>
        <w:ind w:firstLine="480"/>
      </w:pPr>
      <w:r>
        <w:t>联系电话：_____________________</w:t>
      </w:r>
    </w:p>
    <w:p w14:paraId="15E435D3">
      <w:pPr>
        <w:pStyle w:val="13"/>
        <w:ind w:firstLine="480"/>
      </w:pPr>
      <w:r>
        <w:t>地址：_____________________邮编：_____________________</w:t>
      </w:r>
    </w:p>
    <w:p w14:paraId="1CD6870F">
      <w:pPr>
        <w:pStyle w:val="13"/>
        <w:ind w:firstLine="480"/>
      </w:pPr>
      <w:r>
        <w:t>二、质疑项目基本情况</w:t>
      </w:r>
    </w:p>
    <w:p w14:paraId="5E3AA9DA">
      <w:pPr>
        <w:pStyle w:val="13"/>
        <w:ind w:firstLine="480"/>
      </w:pPr>
      <w:r>
        <w:t>质疑项目的名称：_____________________</w:t>
      </w:r>
    </w:p>
    <w:p w14:paraId="58E2A128">
      <w:pPr>
        <w:pStyle w:val="13"/>
        <w:ind w:firstLine="480"/>
      </w:pPr>
      <w:r>
        <w:t>采购人名称：_____________________</w:t>
      </w:r>
    </w:p>
    <w:p w14:paraId="0527E22E">
      <w:pPr>
        <w:pStyle w:val="13"/>
        <w:ind w:firstLine="480"/>
      </w:pPr>
      <w:r>
        <w:t>采购文件获取日期：_____________________</w:t>
      </w:r>
    </w:p>
    <w:p w14:paraId="5A44151F">
      <w:pPr>
        <w:pStyle w:val="13"/>
        <w:ind w:firstLine="480"/>
      </w:pPr>
      <w:r>
        <w:t>三、质疑事项具体内容</w:t>
      </w:r>
    </w:p>
    <w:p w14:paraId="5B87FE76">
      <w:pPr>
        <w:pStyle w:val="13"/>
        <w:ind w:firstLine="480"/>
      </w:pPr>
      <w:r>
        <w:t>质疑事项1：_____________________</w:t>
      </w:r>
    </w:p>
    <w:p w14:paraId="41EF4FD2">
      <w:pPr>
        <w:pStyle w:val="13"/>
        <w:ind w:firstLine="480"/>
      </w:pPr>
      <w:r>
        <w:t>事实依据：_____________________</w:t>
      </w:r>
    </w:p>
    <w:p w14:paraId="307EC367">
      <w:pPr>
        <w:pStyle w:val="13"/>
        <w:ind w:firstLine="480"/>
      </w:pPr>
      <w:r>
        <w:t>法律依据：_____________________</w:t>
      </w:r>
    </w:p>
    <w:p w14:paraId="6594BC86">
      <w:pPr>
        <w:pStyle w:val="13"/>
        <w:ind w:firstLine="480"/>
      </w:pPr>
      <w:r>
        <w:t>质疑事项2：_____________________</w:t>
      </w:r>
    </w:p>
    <w:p w14:paraId="0D79FFBD">
      <w:pPr>
        <w:pStyle w:val="13"/>
        <w:ind w:firstLine="480"/>
      </w:pPr>
      <w:r>
        <w:t>……</w:t>
      </w:r>
    </w:p>
    <w:p w14:paraId="7F75399D">
      <w:pPr>
        <w:pStyle w:val="13"/>
        <w:ind w:firstLine="480"/>
      </w:pPr>
      <w:r>
        <w:t>四、与质疑事项相关的质疑请求</w:t>
      </w:r>
    </w:p>
    <w:p w14:paraId="73C309E8">
      <w:pPr>
        <w:pStyle w:val="13"/>
        <w:ind w:firstLine="480"/>
      </w:pPr>
      <w:r>
        <w:t>请求：__________________________________________</w:t>
      </w:r>
    </w:p>
    <w:p w14:paraId="4F0417BA">
      <w:pPr>
        <w:pStyle w:val="13"/>
      </w:pPr>
      <w:r>
        <w:t xml:space="preserve"> 签字</w:t>
      </w:r>
      <w:r>
        <w:rPr>
          <w:rFonts w:hint="eastAsia"/>
          <w:lang w:eastAsia="zh-CN"/>
        </w:rPr>
        <w:t>（</w:t>
      </w:r>
      <w:r>
        <w:t>签章</w:t>
      </w:r>
      <w:r>
        <w:rPr>
          <w:rFonts w:hint="eastAsia"/>
          <w:lang w:eastAsia="zh-CN"/>
        </w:rPr>
        <w:t>）</w:t>
      </w:r>
      <w:r>
        <w:t>：_____________________ 公章：_____________________</w:t>
      </w:r>
    </w:p>
    <w:p w14:paraId="3EBE9AD5">
      <w:pPr>
        <w:pStyle w:val="13"/>
      </w:pPr>
      <w:r>
        <w:t xml:space="preserve"> 日期： 年 月 日</w:t>
      </w:r>
    </w:p>
    <w:p w14:paraId="7BC3A98D">
      <w:pPr>
        <w:pStyle w:val="13"/>
        <w:ind w:firstLine="480"/>
      </w:pPr>
      <w:r>
        <w:t>质疑函制作说明：</w:t>
      </w:r>
    </w:p>
    <w:p w14:paraId="78D1E9F6">
      <w:pPr>
        <w:pStyle w:val="13"/>
        <w:ind w:firstLine="480"/>
      </w:pPr>
      <w:r>
        <w:t>1.供应商提出质疑时，应提交质疑函和必要的证明材料。</w:t>
      </w:r>
    </w:p>
    <w:p w14:paraId="4A515D78">
      <w:pPr>
        <w:pStyle w:val="13"/>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8E7807">
      <w:pPr>
        <w:pStyle w:val="13"/>
        <w:ind w:firstLine="480"/>
      </w:pPr>
      <w:r>
        <w:t>3.质疑供应商若对项目的某一分包进行质疑，质疑函中应列明具体采购包号。</w:t>
      </w:r>
    </w:p>
    <w:p w14:paraId="13E2103C">
      <w:pPr>
        <w:pStyle w:val="13"/>
        <w:ind w:firstLine="480"/>
      </w:pPr>
      <w:r>
        <w:t>4.质疑函的质疑事项应具体、明确，并有必要的事实依据和法律依据。</w:t>
      </w:r>
    </w:p>
    <w:p w14:paraId="64765D32">
      <w:pPr>
        <w:pStyle w:val="13"/>
        <w:ind w:firstLine="480"/>
      </w:pPr>
      <w:r>
        <w:t>5.质疑函的质疑请求应与质疑事项相关。</w:t>
      </w:r>
    </w:p>
    <w:p w14:paraId="7486A6F0">
      <w:pPr>
        <w:pStyle w:val="13"/>
        <w:ind w:firstLine="480"/>
      </w:pPr>
      <w:r>
        <w:t>6.质疑供应商为自然人的，质疑函应由本人签字；质疑供应商为法人或者其他组织的，质疑函应由法定代表人、主要负责人，或者其授权代表签字或者盖章，并加盖公章。</w:t>
      </w:r>
    </w:p>
    <w:p w14:paraId="65A2F53B">
      <w:pPr>
        <w:pStyle w:val="13"/>
        <w:ind w:firstLine="480"/>
      </w:pPr>
      <w:r>
        <w:t xml:space="preserve">  </w:t>
      </w:r>
    </w:p>
    <w:p w14:paraId="12A9A93B">
      <w:pPr>
        <w:pStyle w:val="13"/>
        <w:jc w:val="center"/>
        <w:outlineLvl w:val="3"/>
      </w:pPr>
      <w:r>
        <w:rPr>
          <w:b/>
          <w:sz w:val="24"/>
        </w:rPr>
        <w:t>投诉书</w:t>
      </w:r>
    </w:p>
    <w:p w14:paraId="5F43109E">
      <w:pPr>
        <w:pStyle w:val="13"/>
        <w:ind w:firstLine="480"/>
      </w:pPr>
      <w:r>
        <w:t xml:space="preserve"> 一、投诉相关主体基本情况</w:t>
      </w:r>
    </w:p>
    <w:p w14:paraId="15806920">
      <w:pPr>
        <w:pStyle w:val="13"/>
        <w:ind w:firstLine="480"/>
      </w:pPr>
      <w:r>
        <w:t xml:space="preserve"> 投诉人：____________________</w:t>
      </w:r>
    </w:p>
    <w:p w14:paraId="2229FDB3">
      <w:pPr>
        <w:pStyle w:val="13"/>
        <w:ind w:firstLine="480"/>
      </w:pPr>
      <w:r>
        <w:t xml:space="preserve"> 地 址：____________________邮编：____________________</w:t>
      </w:r>
    </w:p>
    <w:p w14:paraId="1A2D5021">
      <w:pPr>
        <w:pStyle w:val="13"/>
        <w:ind w:firstLine="480"/>
      </w:pPr>
      <w:r>
        <w:t xml:space="preserve"> 法定代表人/主要负责人：____________________</w:t>
      </w:r>
    </w:p>
    <w:p w14:paraId="1F489DC1">
      <w:pPr>
        <w:pStyle w:val="13"/>
        <w:ind w:firstLine="480"/>
      </w:pPr>
      <w:r>
        <w:t xml:space="preserve"> 联系电话：____________________</w:t>
      </w:r>
    </w:p>
    <w:p w14:paraId="35484730">
      <w:pPr>
        <w:pStyle w:val="13"/>
        <w:ind w:firstLine="480"/>
      </w:pPr>
      <w:r>
        <w:t xml:space="preserve"> 授权代表：____________________联系电话：____________________</w:t>
      </w:r>
    </w:p>
    <w:p w14:paraId="727ED2C7">
      <w:pPr>
        <w:pStyle w:val="13"/>
        <w:ind w:firstLine="480"/>
      </w:pPr>
      <w:r>
        <w:t xml:space="preserve"> 地 址：____________________邮编：____________________</w:t>
      </w:r>
    </w:p>
    <w:p w14:paraId="28418D08">
      <w:pPr>
        <w:pStyle w:val="13"/>
        <w:ind w:firstLine="480"/>
      </w:pPr>
      <w:r>
        <w:t xml:space="preserve"> 被投诉人1：____________________</w:t>
      </w:r>
    </w:p>
    <w:p w14:paraId="3A85F088">
      <w:pPr>
        <w:pStyle w:val="13"/>
        <w:ind w:firstLine="480"/>
      </w:pPr>
      <w:r>
        <w:t xml:space="preserve"> 地址：____________________邮编：____________________</w:t>
      </w:r>
    </w:p>
    <w:p w14:paraId="293A7B2E">
      <w:pPr>
        <w:pStyle w:val="13"/>
        <w:ind w:firstLine="480"/>
      </w:pPr>
      <w:r>
        <w:t xml:space="preserve"> 联系人：____________________联系电话：____________________</w:t>
      </w:r>
    </w:p>
    <w:p w14:paraId="225CF8B6">
      <w:pPr>
        <w:pStyle w:val="13"/>
        <w:ind w:firstLine="480"/>
      </w:pPr>
      <w:r>
        <w:t xml:space="preserve"> 被投诉人2：____________________</w:t>
      </w:r>
    </w:p>
    <w:p w14:paraId="734329D0">
      <w:pPr>
        <w:pStyle w:val="13"/>
        <w:ind w:firstLine="480"/>
      </w:pPr>
      <w:r>
        <w:t xml:space="preserve"> ……</w:t>
      </w:r>
    </w:p>
    <w:p w14:paraId="59AF1A6F">
      <w:pPr>
        <w:pStyle w:val="13"/>
        <w:ind w:firstLine="480"/>
      </w:pPr>
      <w:r>
        <w:t xml:space="preserve"> 相关供应商：_____________________</w:t>
      </w:r>
    </w:p>
    <w:p w14:paraId="645AC95A">
      <w:pPr>
        <w:pStyle w:val="13"/>
        <w:ind w:firstLine="480"/>
      </w:pPr>
      <w:r>
        <w:t xml:space="preserve"> 地址：____________________邮编：____________________</w:t>
      </w:r>
    </w:p>
    <w:p w14:paraId="6E17244B">
      <w:pPr>
        <w:pStyle w:val="13"/>
        <w:ind w:firstLine="480"/>
      </w:pPr>
      <w:r>
        <w:t xml:space="preserve"> 联系人：____________________联系电话：____________________</w:t>
      </w:r>
    </w:p>
    <w:p w14:paraId="74FB3F8E">
      <w:pPr>
        <w:pStyle w:val="13"/>
        <w:ind w:firstLine="480"/>
      </w:pPr>
      <w:r>
        <w:t xml:space="preserve"> 二、投诉项目基本情况</w:t>
      </w:r>
    </w:p>
    <w:p w14:paraId="0D67044C">
      <w:pPr>
        <w:pStyle w:val="13"/>
        <w:ind w:firstLine="480"/>
      </w:pPr>
      <w:r>
        <w:t xml:space="preserve"> 采购项目名称：____________________</w:t>
      </w:r>
    </w:p>
    <w:p w14:paraId="1EFBF5BC">
      <w:pPr>
        <w:pStyle w:val="13"/>
        <w:ind w:firstLine="480"/>
      </w:pPr>
      <w:r>
        <w:t xml:space="preserve"> 采购人名称：____________________</w:t>
      </w:r>
    </w:p>
    <w:p w14:paraId="062562AB">
      <w:pPr>
        <w:pStyle w:val="13"/>
        <w:ind w:firstLine="480"/>
      </w:pPr>
      <w:r>
        <w:t xml:space="preserve"> 代理机构名称：____________________</w:t>
      </w:r>
    </w:p>
    <w:p w14:paraId="7E0A8B00">
      <w:pPr>
        <w:pStyle w:val="13"/>
        <w:ind w:firstLine="480"/>
      </w:pPr>
      <w:r>
        <w:t xml:space="preserve"> 采购文件公告</w:t>
      </w:r>
      <w:r>
        <w:rPr>
          <w:rFonts w:hint="eastAsia"/>
          <w:lang w:eastAsia="zh-CN"/>
        </w:rPr>
        <w:t>：</w:t>
      </w:r>
      <w:r>
        <w:rPr>
          <w:u w:val="single"/>
        </w:rPr>
        <w:t>是/否</w:t>
      </w:r>
      <w:r>
        <w:t xml:space="preserve"> 公告期限：_____________________</w:t>
      </w:r>
    </w:p>
    <w:p w14:paraId="34B9C54B">
      <w:pPr>
        <w:pStyle w:val="13"/>
        <w:ind w:firstLine="480"/>
      </w:pPr>
      <w:r>
        <w:t xml:space="preserve"> 采购结果公告</w:t>
      </w:r>
      <w:r>
        <w:rPr>
          <w:rFonts w:hint="eastAsia"/>
          <w:lang w:eastAsia="zh-CN"/>
        </w:rPr>
        <w:t>：</w:t>
      </w:r>
      <w:r>
        <w:rPr>
          <w:u w:val="single"/>
        </w:rPr>
        <w:t>是/否</w:t>
      </w:r>
      <w:r>
        <w:t xml:space="preserve"> 公告期限：_____________________</w:t>
      </w:r>
    </w:p>
    <w:p w14:paraId="2BCBE5CC">
      <w:pPr>
        <w:pStyle w:val="13"/>
        <w:ind w:firstLine="480"/>
      </w:pPr>
      <w:r>
        <w:t xml:space="preserve"> 三、质疑基本情况</w:t>
      </w:r>
    </w:p>
    <w:p w14:paraId="038B9AE4">
      <w:pPr>
        <w:pStyle w:val="13"/>
        <w:ind w:firstLine="480"/>
      </w:pPr>
      <w:r>
        <w:t xml:space="preserve"> 投诉人于 ____年____月____日</w:t>
      </w:r>
      <w:r>
        <w:rPr>
          <w:rFonts w:hint="eastAsia"/>
          <w:lang w:eastAsia="zh-CN"/>
        </w:rPr>
        <w:t>，</w:t>
      </w:r>
      <w:r>
        <w:t>向提出质疑，质疑事项为：_____________________</w:t>
      </w:r>
    </w:p>
    <w:p w14:paraId="1F9FBA2E">
      <w:pPr>
        <w:pStyle w:val="13"/>
        <w:ind w:firstLine="656" w:firstLineChars="328"/>
      </w:pPr>
      <w:r>
        <w:rPr>
          <w:u w:val="single"/>
        </w:rPr>
        <w:t>采购人</w:t>
      </w:r>
      <w:r>
        <w:t>于____年____月____日</w:t>
      </w:r>
      <w:r>
        <w:rPr>
          <w:rFonts w:hint="eastAsia"/>
          <w:lang w:eastAsia="zh-CN"/>
        </w:rPr>
        <w:t>，</w:t>
      </w:r>
      <w:r>
        <w:t>就质疑事项作出了答复/没有在法定期限内作出答复。</w:t>
      </w:r>
    </w:p>
    <w:p w14:paraId="2BDF3E98">
      <w:pPr>
        <w:pStyle w:val="13"/>
        <w:ind w:firstLine="480"/>
      </w:pPr>
      <w:r>
        <w:t xml:space="preserve"> 四、投诉事项具体内容</w:t>
      </w:r>
    </w:p>
    <w:p w14:paraId="7FD18F5D">
      <w:pPr>
        <w:pStyle w:val="13"/>
        <w:ind w:firstLine="480"/>
      </w:pPr>
      <w:r>
        <w:t xml:space="preserve"> 投诉事项 1：_____________________</w:t>
      </w:r>
    </w:p>
    <w:p w14:paraId="1415DCA0">
      <w:pPr>
        <w:pStyle w:val="13"/>
        <w:ind w:firstLine="480"/>
      </w:pPr>
      <w:r>
        <w:t xml:space="preserve"> 事实依据：_____________________</w:t>
      </w:r>
    </w:p>
    <w:p w14:paraId="62D652AD">
      <w:pPr>
        <w:pStyle w:val="13"/>
        <w:ind w:firstLine="480"/>
      </w:pPr>
      <w:r>
        <w:t xml:space="preserve"> 法律依据：_____________________</w:t>
      </w:r>
    </w:p>
    <w:p w14:paraId="76847064">
      <w:pPr>
        <w:pStyle w:val="13"/>
        <w:ind w:firstLine="480"/>
      </w:pPr>
      <w:r>
        <w:t xml:space="preserve"> 投诉事项2：_____________________</w:t>
      </w:r>
    </w:p>
    <w:p w14:paraId="093F9A66">
      <w:pPr>
        <w:pStyle w:val="13"/>
        <w:ind w:firstLine="480"/>
      </w:pPr>
      <w:r>
        <w:t xml:space="preserve"> ……</w:t>
      </w:r>
    </w:p>
    <w:p w14:paraId="42EF1E9B">
      <w:pPr>
        <w:pStyle w:val="13"/>
        <w:ind w:firstLine="480"/>
      </w:pPr>
      <w:r>
        <w:t xml:space="preserve"> 五、与投诉事项相关的投诉请求</w:t>
      </w:r>
    </w:p>
    <w:p w14:paraId="40161BFF">
      <w:pPr>
        <w:pStyle w:val="13"/>
        <w:ind w:firstLine="480"/>
      </w:pPr>
      <w:r>
        <w:t xml:space="preserve"> 请求：________________________</w:t>
      </w:r>
    </w:p>
    <w:p w14:paraId="20963B4A">
      <w:pPr>
        <w:pStyle w:val="13"/>
        <w:ind w:firstLine="480"/>
      </w:pPr>
      <w:r>
        <w:t xml:space="preserve"> 签字</w:t>
      </w:r>
      <w:r>
        <w:rPr>
          <w:rFonts w:hint="eastAsia"/>
          <w:lang w:eastAsia="zh-CN"/>
        </w:rPr>
        <w:t>（</w:t>
      </w:r>
      <w:r>
        <w:t>签章</w:t>
      </w:r>
      <w:r>
        <w:rPr>
          <w:rFonts w:hint="eastAsia"/>
          <w:lang w:eastAsia="zh-CN"/>
        </w:rPr>
        <w:t>）</w:t>
      </w:r>
      <w:r>
        <w:t>： ________公章________</w:t>
      </w:r>
    </w:p>
    <w:p w14:paraId="06A9939A">
      <w:pPr>
        <w:pStyle w:val="13"/>
      </w:pPr>
      <w:r>
        <w:t xml:space="preserve"> 日期：____年____月____日</w:t>
      </w:r>
    </w:p>
    <w:p w14:paraId="172D3211">
      <w:pPr>
        <w:pStyle w:val="13"/>
        <w:ind w:firstLine="480"/>
      </w:pPr>
      <w:r>
        <w:t xml:space="preserve"> 投诉书制作说明：</w:t>
      </w:r>
    </w:p>
    <w:p w14:paraId="06B2EDF2">
      <w:pPr>
        <w:pStyle w:val="13"/>
        <w:ind w:firstLine="480"/>
      </w:pPr>
      <w:r>
        <w:t xml:space="preserve"> 1.投诉人提起投诉时，应当提交投诉书和必要的证明材料，并按照被投诉人和与投诉事项有关的供应商数量提供投诉书副本。</w:t>
      </w:r>
    </w:p>
    <w:p w14:paraId="73EB5156">
      <w:pPr>
        <w:pStyle w:val="13"/>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BAFF539">
      <w:pPr>
        <w:pStyle w:val="13"/>
        <w:ind w:firstLine="480"/>
      </w:pPr>
      <w:r>
        <w:t xml:space="preserve"> 3.投诉人若对项目的某一分包进行投诉，投诉书应列明具体分包号。</w:t>
      </w:r>
    </w:p>
    <w:p w14:paraId="06496739">
      <w:pPr>
        <w:pStyle w:val="13"/>
        <w:ind w:firstLine="480"/>
      </w:pPr>
      <w:r>
        <w:t xml:space="preserve"> 4.投诉书应简要列明质疑事项，质疑函、质疑答复等作为附件材料提供。</w:t>
      </w:r>
    </w:p>
    <w:p w14:paraId="5E81F0CC">
      <w:pPr>
        <w:pStyle w:val="13"/>
        <w:ind w:firstLine="480"/>
      </w:pPr>
      <w:r>
        <w:t xml:space="preserve"> 5.投诉书的投诉事项应具体、明确，并有必要的事实依据和法律依据。</w:t>
      </w:r>
    </w:p>
    <w:p w14:paraId="50AB2F26">
      <w:pPr>
        <w:pStyle w:val="13"/>
        <w:ind w:firstLine="480"/>
      </w:pPr>
      <w:r>
        <w:t xml:space="preserve"> 6.投诉书的投诉请求应与投诉事项相关。</w:t>
      </w:r>
    </w:p>
    <w:p w14:paraId="45F4A4C3">
      <w:pPr>
        <w:pStyle w:val="13"/>
        <w:ind w:firstLine="480"/>
      </w:pPr>
      <w:r>
        <w:t xml:space="preserve"> 7.投诉人为自然人的，投诉书应当由本人签字；投诉人为法人或者其他组织的，投诉书应当由法定代表人、主要负责人，或者其授权代表签字或者盖章，并加盖公章。</w:t>
      </w:r>
    </w:p>
    <w:p w14:paraId="40823CF5">
      <w:pPr>
        <w:pStyle w:val="13"/>
        <w:ind w:firstLine="480"/>
      </w:pPr>
      <w:r>
        <w:t xml:space="preserve">  </w:t>
      </w:r>
    </w:p>
    <w:p w14:paraId="36B45D4F">
      <w:pPr>
        <w:pStyle w:val="13"/>
        <w:pageBreakBefore/>
        <w:outlineLvl w:val="2"/>
      </w:pPr>
      <w:r>
        <w:rPr>
          <w:b/>
          <w:sz w:val="28"/>
        </w:rPr>
        <w:t>格式十</w:t>
      </w:r>
      <w:r>
        <w:rPr>
          <w:rFonts w:hint="eastAsia"/>
          <w:b/>
          <w:sz w:val="28"/>
          <w:lang w:val="en-US" w:eastAsia="zh-CN"/>
        </w:rPr>
        <w:t>六</w:t>
      </w:r>
      <w:r>
        <w:rPr>
          <w:b/>
          <w:sz w:val="28"/>
        </w:rPr>
        <w:t>：</w:t>
      </w:r>
    </w:p>
    <w:p w14:paraId="0E541A6C">
      <w:pPr>
        <w:pStyle w:val="13"/>
        <w:ind w:firstLine="480"/>
      </w:pPr>
      <w:r>
        <w:t>（以下格式文件由供应商根据需要选用）</w:t>
      </w:r>
    </w:p>
    <w:p w14:paraId="4F5A1674">
      <w:pPr>
        <w:pStyle w:val="13"/>
        <w:ind w:firstLine="480"/>
      </w:pPr>
      <w:r>
        <w:t>项目实施方案、质量保证及售后服务承诺等内容和格式自拟。</w:t>
      </w:r>
    </w:p>
    <w:p w14:paraId="1E49B0DD">
      <w:pPr>
        <w:pStyle w:val="13"/>
        <w:rPr>
          <w:rFonts w:hint="eastAsia" w:eastAsiaTheme="minorEastAsia"/>
          <w:lang w:val="en-US" w:eastAsia="zh-CN"/>
        </w:rPr>
      </w:pPr>
    </w:p>
    <w:p w14:paraId="5E706EC6">
      <w:pPr>
        <w:pStyle w:val="7"/>
        <w:keepNext w:val="0"/>
        <w:keepLines w:val="0"/>
        <w:pageBreakBefore/>
        <w:widowControl w:val="0"/>
        <w:kinsoku/>
        <w:wordWrap/>
        <w:overflowPunct/>
        <w:topLinePunct w:val="0"/>
        <w:autoSpaceDE/>
        <w:autoSpaceDN/>
        <w:bidi w:val="0"/>
        <w:adjustRightInd/>
        <w:snapToGrid/>
        <w:ind w:firstLine="1124" w:firstLineChars="400"/>
        <w:textAlignment w:val="auto"/>
        <w:rPr>
          <w:rFonts w:hint="eastAsia" w:ascii="宋体" w:hAnsi="宋体" w:cs="宋体"/>
          <w:b/>
          <w:bCs/>
          <w:color w:val="auto"/>
          <w:sz w:val="28"/>
          <w:szCs w:val="28"/>
        </w:rPr>
      </w:pPr>
    </w:p>
    <w:p w14:paraId="3440A090">
      <w:pPr>
        <w:pStyle w:val="13"/>
        <w:ind w:firstLine="422"/>
        <w:jc w:val="left"/>
        <w:rPr>
          <w:b/>
          <w:sz w:val="21"/>
        </w:rPr>
      </w:pPr>
    </w:p>
    <w:p w14:paraId="271D8FF6">
      <w:pPr>
        <w:pStyle w:val="13"/>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 w:name="Adobe 仿宋 Std R">
    <w:altName w:val="仿宋"/>
    <w:panose1 w:val="00000000000000000000"/>
    <w:charset w:val="86"/>
    <w:family w:val="decorative"/>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9F11E"/>
    <w:multiLevelType w:val="singleLevel"/>
    <w:tmpl w:val="8DC9F11E"/>
    <w:lvl w:ilvl="0" w:tentative="0">
      <w:start w:val="1"/>
      <w:numFmt w:val="decimal"/>
      <w:suff w:val="nothing"/>
      <w:lvlText w:val="%1、"/>
      <w:lvlJc w:val="left"/>
    </w:lvl>
  </w:abstractNum>
  <w:abstractNum w:abstractNumId="1">
    <w:nsid w:val="96B7402B"/>
    <w:multiLevelType w:val="singleLevel"/>
    <w:tmpl w:val="96B7402B"/>
    <w:lvl w:ilvl="0" w:tentative="0">
      <w:start w:val="1"/>
      <w:numFmt w:val="decimal"/>
      <w:suff w:val="nothing"/>
      <w:lvlText w:val="（%1）"/>
      <w:lvlJc w:val="left"/>
    </w:lvl>
  </w:abstractNum>
  <w:abstractNum w:abstractNumId="2">
    <w:nsid w:val="D5319CA4"/>
    <w:multiLevelType w:val="singleLevel"/>
    <w:tmpl w:val="D5319CA4"/>
    <w:lvl w:ilvl="0" w:tentative="0">
      <w:start w:val="1"/>
      <w:numFmt w:val="decimal"/>
      <w:suff w:val="space"/>
      <w:lvlText w:val="%1)"/>
      <w:lvlJc w:val="left"/>
      <w:pPr>
        <w:ind w:left="425" w:hanging="425"/>
      </w:pPr>
      <w:rPr>
        <w:rFonts w:hint="default"/>
      </w:rPr>
    </w:lvl>
  </w:abstractNum>
  <w:abstractNum w:abstractNumId="3">
    <w:nsid w:val="F45845F7"/>
    <w:multiLevelType w:val="singleLevel"/>
    <w:tmpl w:val="F45845F7"/>
    <w:lvl w:ilvl="0" w:tentative="0">
      <w:start w:val="2"/>
      <w:numFmt w:val="chineseCounting"/>
      <w:suff w:val="nothing"/>
      <w:lvlText w:val="（%1）"/>
      <w:lvlJc w:val="left"/>
      <w:rPr>
        <w:rFonts w:hint="eastAsia"/>
      </w:rPr>
    </w:lvl>
  </w:abstractNum>
  <w:abstractNum w:abstractNumId="4">
    <w:nsid w:val="FC42C317"/>
    <w:multiLevelType w:val="singleLevel"/>
    <w:tmpl w:val="FC42C317"/>
    <w:lvl w:ilvl="0" w:tentative="0">
      <w:start w:val="1"/>
      <w:numFmt w:val="decimal"/>
      <w:suff w:val="nothing"/>
      <w:lvlText w:val="%1、"/>
      <w:lvlJc w:val="left"/>
    </w:lvl>
  </w:abstractNum>
  <w:abstractNum w:abstractNumId="5">
    <w:nsid w:val="0823AED1"/>
    <w:multiLevelType w:val="singleLevel"/>
    <w:tmpl w:val="0823AED1"/>
    <w:lvl w:ilvl="0" w:tentative="0">
      <w:start w:val="1"/>
      <w:numFmt w:val="decimal"/>
      <w:suff w:val="nothing"/>
      <w:lvlText w:val="%1、"/>
      <w:lvlJc w:val="left"/>
    </w:lvl>
  </w:abstractNum>
  <w:abstractNum w:abstractNumId="6">
    <w:nsid w:val="0DA054F6"/>
    <w:multiLevelType w:val="multilevel"/>
    <w:tmpl w:val="0DA054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C42FAC"/>
    <w:multiLevelType w:val="multilevel"/>
    <w:tmpl w:val="41C42FAC"/>
    <w:lvl w:ilvl="0" w:tentative="0">
      <w:start w:val="1"/>
      <w:numFmt w:val="decimal"/>
      <w:lvlText w:val="%1"/>
      <w:lvlJc w:val="left"/>
      <w:pPr>
        <w:ind w:left="480" w:hanging="480"/>
      </w:pPr>
      <w:rPr>
        <w:rFonts w:hint="default"/>
      </w:rPr>
    </w:lvl>
    <w:lvl w:ilvl="1" w:tentative="0">
      <w:start w:val="1"/>
      <w:numFmt w:val="decimal"/>
      <w:lvlText w:val="%1.%2"/>
      <w:lvlJc w:val="left"/>
      <w:pPr>
        <w:ind w:left="900" w:hanging="48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520" w:hanging="2160"/>
      </w:pPr>
      <w:rPr>
        <w:rFonts w:hint="default"/>
      </w:rPr>
    </w:lvl>
  </w:abstractNum>
  <w:abstractNum w:abstractNumId="8">
    <w:nsid w:val="56CD247F"/>
    <w:multiLevelType w:val="singleLevel"/>
    <w:tmpl w:val="56CD247F"/>
    <w:lvl w:ilvl="0" w:tentative="0">
      <w:start w:val="5"/>
      <w:numFmt w:val="chineseCounting"/>
      <w:suff w:val="nothing"/>
      <w:lvlText w:val="%1、"/>
      <w:lvlJc w:val="left"/>
    </w:lvl>
  </w:abstractNum>
  <w:abstractNum w:abstractNumId="9">
    <w:nsid w:val="573A9672"/>
    <w:multiLevelType w:val="multilevel"/>
    <w:tmpl w:val="573A9672"/>
    <w:lvl w:ilvl="0" w:tentative="0">
      <w:start w:val="1"/>
      <w:numFmt w:val="chineseCountingThousand"/>
      <w:lvlText w:val="(%1)"/>
      <w:lvlJc w:val="left"/>
      <w:pPr>
        <w:ind w:left="980" w:hanging="420"/>
      </w:pPr>
      <w:rPr>
        <w:sz w:val="28"/>
        <w:szCs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62FA194B"/>
    <w:multiLevelType w:val="singleLevel"/>
    <w:tmpl w:val="62FA194B"/>
    <w:lvl w:ilvl="0" w:tentative="0">
      <w:start w:val="1"/>
      <w:numFmt w:val="decimalEnclosedCircleChinese"/>
      <w:suff w:val="nothing"/>
      <w:lvlText w:val="%1　"/>
      <w:lvlJc w:val="left"/>
      <w:pPr>
        <w:ind w:left="0" w:firstLine="400"/>
      </w:pPr>
      <w:rPr>
        <w:rFonts w:hint="eastAsia"/>
      </w:rPr>
    </w:lvl>
  </w:abstractNum>
  <w:abstractNum w:abstractNumId="11">
    <w:nsid w:val="66BAD09D"/>
    <w:multiLevelType w:val="multilevel"/>
    <w:tmpl w:val="66BAD09D"/>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2">
    <w:nsid w:val="71B3BEDF"/>
    <w:multiLevelType w:val="singleLevel"/>
    <w:tmpl w:val="71B3BEDF"/>
    <w:lvl w:ilvl="0" w:tentative="0">
      <w:start w:val="1"/>
      <w:numFmt w:val="decimal"/>
      <w:suff w:val="nothing"/>
      <w:lvlText w:val="%1、"/>
      <w:lvlJc w:val="left"/>
    </w:lvl>
  </w:abstractNum>
  <w:num w:numId="1">
    <w:abstractNumId w:val="2"/>
  </w:num>
  <w:num w:numId="2">
    <w:abstractNumId w:val="12"/>
  </w:num>
  <w:num w:numId="3">
    <w:abstractNumId w:val="4"/>
  </w:num>
  <w:num w:numId="4">
    <w:abstractNumId w:val="0"/>
  </w:num>
  <w:num w:numId="5">
    <w:abstractNumId w:val="5"/>
  </w:num>
  <w:num w:numId="6">
    <w:abstractNumId w:val="11"/>
  </w:num>
  <w:num w:numId="7">
    <w:abstractNumId w:val="6"/>
  </w:num>
  <w:num w:numId="8">
    <w:abstractNumId w:val="9"/>
    <w:lvlOverride w:ilvl="0">
      <w:startOverride w:val="1"/>
    </w:lvlOverride>
  </w:num>
  <w:num w:numId="9">
    <w:abstractNumId w:val="8"/>
  </w:num>
  <w:num w:numId="10">
    <w:abstractNumId w:val="3"/>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29808D2"/>
    <w:rsid w:val="068E522E"/>
    <w:rsid w:val="093276FB"/>
    <w:rsid w:val="0D8E04A2"/>
    <w:rsid w:val="0D98311E"/>
    <w:rsid w:val="0E394B6B"/>
    <w:rsid w:val="0E3E1709"/>
    <w:rsid w:val="13C5531F"/>
    <w:rsid w:val="177F50ED"/>
    <w:rsid w:val="17A32DEB"/>
    <w:rsid w:val="1E216A89"/>
    <w:rsid w:val="1EB156CF"/>
    <w:rsid w:val="201560AF"/>
    <w:rsid w:val="21AC2876"/>
    <w:rsid w:val="273803E6"/>
    <w:rsid w:val="291A3835"/>
    <w:rsid w:val="2E1B14D5"/>
    <w:rsid w:val="3371144B"/>
    <w:rsid w:val="3FDB7F65"/>
    <w:rsid w:val="411A4ECC"/>
    <w:rsid w:val="418513D2"/>
    <w:rsid w:val="462B07FE"/>
    <w:rsid w:val="4FD94957"/>
    <w:rsid w:val="53B52B8D"/>
    <w:rsid w:val="5717642E"/>
    <w:rsid w:val="60341DFF"/>
    <w:rsid w:val="66EC6F90"/>
    <w:rsid w:val="6C4951EF"/>
    <w:rsid w:val="724002E4"/>
    <w:rsid w:val="74E51744"/>
    <w:rsid w:val="76525BE7"/>
    <w:rsid w:val="77F79321"/>
    <w:rsid w:val="783D78C7"/>
    <w:rsid w:val="7D6C734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宋体" w:hAnsi="宋体" w:eastAsia="宋体" w:cs="宋体"/>
      <w:sz w:val="19"/>
      <w:szCs w:val="19"/>
      <w:lang w:val="en-US" w:eastAsia="en-US" w:bidi="ar-SA"/>
    </w:rPr>
  </w:style>
  <w:style w:type="paragraph" w:styleId="5">
    <w:name w:val="Body Text Indent"/>
    <w:basedOn w:val="1"/>
    <w:next w:val="6"/>
    <w:qFormat/>
    <w:uiPriority w:val="99"/>
    <w:pPr>
      <w:ind w:firstLine="830" w:firstLineChars="352"/>
    </w:pPr>
    <w:rPr>
      <w:rFonts w:ascii="仿宋_GB2312" w:eastAsia="仿宋_GB2312"/>
      <w:sz w:val="32"/>
      <w:szCs w:val="20"/>
    </w:rPr>
  </w:style>
  <w:style w:type="paragraph" w:styleId="6">
    <w:name w:val="envelope return"/>
    <w:basedOn w:val="1"/>
    <w:qFormat/>
    <w:uiPriority w:val="0"/>
    <w:pPr>
      <w:snapToGrid w:val="0"/>
    </w:pPr>
    <w:rPr>
      <w:rFonts w:ascii="Arial" w:hAnsi="Arial"/>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unhideWhenUsed/>
    <w:qFormat/>
    <w:uiPriority w:val="99"/>
    <w:pPr>
      <w:spacing w:beforeAutospacing="1" w:afterAutospacing="1"/>
      <w:jc w:val="left"/>
    </w:pPr>
    <w:rPr>
      <w:kern w:val="0"/>
    </w:rPr>
  </w:style>
  <w:style w:type="paragraph" w:styleId="9">
    <w:name w:val="Body Text First Indent 2"/>
    <w:basedOn w:val="5"/>
    <w:qFormat/>
    <w:uiPriority w:val="0"/>
    <w:pPr>
      <w:ind w:left="200" w:firstLine="200"/>
    </w:pPr>
    <w:rPr>
      <w:rFonts w:ascii="宋体" w:hAnsi="宋体"/>
    </w:rPr>
  </w:style>
  <w:style w:type="character" w:styleId="12">
    <w:name w:val="Hyperlink"/>
    <w:qFormat/>
    <w:uiPriority w:val="99"/>
    <w:rPr>
      <w:color w:val="0000FF"/>
      <w:u w:val="single"/>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character" w:customStyle="1" w:styleId="14">
    <w:name w:val="font11"/>
    <w:basedOn w:val="11"/>
    <w:qFormat/>
    <w:uiPriority w:val="0"/>
    <w:rPr>
      <w:rFonts w:hint="eastAsia" w:ascii="宋体" w:hAnsi="宋体" w:eastAsia="宋体" w:cs="宋体"/>
      <w:b/>
      <w:bCs/>
      <w:color w:val="000000"/>
      <w:sz w:val="21"/>
      <w:szCs w:val="21"/>
      <w:u w:val="none"/>
    </w:rPr>
  </w:style>
  <w:style w:type="character" w:customStyle="1" w:styleId="15">
    <w:name w:val="font91"/>
    <w:basedOn w:val="11"/>
    <w:qFormat/>
    <w:uiPriority w:val="0"/>
    <w:rPr>
      <w:rFonts w:ascii="Calibri" w:hAnsi="Calibri" w:cs="Calibri"/>
      <w:b/>
      <w:bCs/>
      <w:color w:val="000000"/>
      <w:sz w:val="21"/>
      <w:szCs w:val="21"/>
      <w:u w:val="none"/>
    </w:rPr>
  </w:style>
  <w:style w:type="character" w:customStyle="1" w:styleId="16">
    <w:name w:val="font41"/>
    <w:basedOn w:val="11"/>
    <w:qFormat/>
    <w:uiPriority w:val="0"/>
    <w:rPr>
      <w:rFonts w:hint="eastAsia" w:ascii="宋体" w:hAnsi="宋体" w:eastAsia="宋体" w:cs="宋体"/>
      <w:color w:val="000000"/>
      <w:sz w:val="21"/>
      <w:szCs w:val="21"/>
      <w:u w:val="none"/>
    </w:rPr>
  </w:style>
  <w:style w:type="character" w:customStyle="1" w:styleId="17">
    <w:name w:val="font21"/>
    <w:basedOn w:val="11"/>
    <w:qFormat/>
    <w:uiPriority w:val="0"/>
    <w:rPr>
      <w:rFonts w:hint="default" w:ascii="Calibri" w:hAnsi="Calibri" w:cs="Calibri"/>
      <w:color w:val="000000"/>
      <w:sz w:val="21"/>
      <w:szCs w:val="21"/>
      <w:u w:val="none"/>
    </w:rPr>
  </w:style>
  <w:style w:type="character" w:customStyle="1" w:styleId="18">
    <w:name w:val="font51"/>
    <w:basedOn w:val="11"/>
    <w:qFormat/>
    <w:uiPriority w:val="0"/>
    <w:rPr>
      <w:rFonts w:hint="default" w:ascii="Calibri" w:hAnsi="Calibri" w:cs="Calibri"/>
      <w:color w:val="000000"/>
      <w:sz w:val="22"/>
      <w:szCs w:val="22"/>
      <w:u w:val="none"/>
    </w:rPr>
  </w:style>
  <w:style w:type="character" w:customStyle="1" w:styleId="19">
    <w:name w:val="font101"/>
    <w:basedOn w:val="11"/>
    <w:qFormat/>
    <w:uiPriority w:val="0"/>
    <w:rPr>
      <w:rFonts w:hint="eastAsia" w:ascii="宋体" w:hAnsi="宋体" w:eastAsia="宋体" w:cs="宋体"/>
      <w:color w:val="000000"/>
      <w:sz w:val="22"/>
      <w:szCs w:val="22"/>
      <w:u w:val="none"/>
    </w:rPr>
  </w:style>
  <w:style w:type="character" w:customStyle="1" w:styleId="20">
    <w:name w:val="font112"/>
    <w:basedOn w:val="11"/>
    <w:qFormat/>
    <w:uiPriority w:val="0"/>
    <w:rPr>
      <w:rFonts w:hint="eastAsia" w:ascii="宋体" w:hAnsi="宋体" w:eastAsia="宋体" w:cs="宋体"/>
      <w:color w:val="FF0000"/>
      <w:sz w:val="22"/>
      <w:szCs w:val="22"/>
      <w:u w:val="none"/>
    </w:rPr>
  </w:style>
  <w:style w:type="character" w:customStyle="1" w:styleId="21">
    <w:name w:val="font61"/>
    <w:basedOn w:val="11"/>
    <w:qFormat/>
    <w:uiPriority w:val="0"/>
    <w:rPr>
      <w:rFonts w:hint="default" w:ascii="Calibri" w:hAnsi="Calibri" w:cs="Calibri"/>
      <w:color w:val="FF0000"/>
      <w:sz w:val="22"/>
      <w:szCs w:val="22"/>
      <w:u w:val="none"/>
    </w:rPr>
  </w:style>
  <w:style w:type="character" w:customStyle="1" w:styleId="22">
    <w:name w:val="font31"/>
    <w:basedOn w:val="11"/>
    <w:qFormat/>
    <w:uiPriority w:val="0"/>
    <w:rPr>
      <w:rFonts w:hint="eastAsia" w:ascii="宋体" w:hAnsi="宋体" w:eastAsia="宋体" w:cs="宋体"/>
      <w:color w:val="FF0000"/>
      <w:sz w:val="21"/>
      <w:szCs w:val="21"/>
      <w:u w:val="none"/>
    </w:rPr>
  </w:style>
  <w:style w:type="character" w:customStyle="1" w:styleId="23">
    <w:name w:val="font81"/>
    <w:basedOn w:val="11"/>
    <w:qFormat/>
    <w:uiPriority w:val="0"/>
    <w:rPr>
      <w:rFonts w:hint="default" w:ascii="Calibri" w:hAnsi="Calibri" w:cs="Calibri"/>
      <w:color w:val="FF0000"/>
      <w:sz w:val="21"/>
      <w:szCs w:val="21"/>
      <w:u w:val="none"/>
    </w:rPr>
  </w:style>
  <w:style w:type="character" w:customStyle="1" w:styleId="24">
    <w:name w:val="font121"/>
    <w:basedOn w:val="11"/>
    <w:qFormat/>
    <w:uiPriority w:val="0"/>
    <w:rPr>
      <w:rFonts w:hint="eastAsia" w:ascii="宋体" w:hAnsi="宋体" w:eastAsia="宋体" w:cs="宋体"/>
      <w:color w:val="000000"/>
      <w:sz w:val="22"/>
      <w:szCs w:val="22"/>
      <w:u w:val="none"/>
    </w:rPr>
  </w:style>
  <w:style w:type="character" w:customStyle="1" w:styleId="25">
    <w:name w:val="font131"/>
    <w:basedOn w:val="11"/>
    <w:qFormat/>
    <w:uiPriority w:val="0"/>
    <w:rPr>
      <w:rFonts w:hint="default" w:ascii="Calibri" w:hAnsi="Calibri" w:cs="Calibri"/>
      <w:color w:val="000000"/>
      <w:sz w:val="22"/>
      <w:szCs w:val="22"/>
      <w:u w:val="none"/>
    </w:rPr>
  </w:style>
  <w:style w:type="character" w:customStyle="1" w:styleId="26">
    <w:name w:val="font141"/>
    <w:basedOn w:val="11"/>
    <w:qFormat/>
    <w:uiPriority w:val="0"/>
    <w:rPr>
      <w:rFonts w:hint="default" w:ascii="Calibri" w:hAnsi="Calibri" w:cs="Calibri"/>
      <w:color w:val="FF0000"/>
      <w:sz w:val="20"/>
      <w:szCs w:val="20"/>
      <w:u w:val="none"/>
    </w:rPr>
  </w:style>
  <w:style w:type="character" w:customStyle="1" w:styleId="27">
    <w:name w:val="font151"/>
    <w:basedOn w:val="11"/>
    <w:qFormat/>
    <w:uiPriority w:val="0"/>
    <w:rPr>
      <w:rFonts w:hint="eastAsia" w:ascii="宋体" w:hAnsi="宋体" w:eastAsia="宋体" w:cs="宋体"/>
      <w:color w:val="000000"/>
      <w:sz w:val="21"/>
      <w:szCs w:val="21"/>
      <w:u w:val="none"/>
    </w:rPr>
  </w:style>
  <w:style w:type="character" w:customStyle="1" w:styleId="28">
    <w:name w:val="font161"/>
    <w:basedOn w:val="11"/>
    <w:qFormat/>
    <w:uiPriority w:val="0"/>
    <w:rPr>
      <w:rFonts w:hint="default" w:ascii="Calibri" w:hAnsi="Calibri" w:cs="Calibri"/>
      <w:color w:val="000000"/>
      <w:sz w:val="21"/>
      <w:szCs w:val="21"/>
      <w:u w:val="none"/>
    </w:rPr>
  </w:style>
  <w:style w:type="paragraph" w:styleId="29">
    <w:name w:val="List Paragraph"/>
    <w:basedOn w:val="1"/>
    <w:qFormat/>
    <w:uiPriority w:val="99"/>
    <w:pPr>
      <w:ind w:firstLine="420" w:firstLineChars="200"/>
    </w:pPr>
    <w:rPr>
      <w:rFonts w:ascii="Calibri" w:hAnsi="Calibri"/>
      <w:szCs w:val="22"/>
    </w:rPr>
  </w:style>
  <w:style w:type="paragraph" w:customStyle="1" w:styleId="30">
    <w:name w:val="_Style 3"/>
    <w:basedOn w:val="1"/>
    <w:next w:val="7"/>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31">
    <w:name w:val="列出段落1"/>
    <w:basedOn w:val="1"/>
    <w:autoRedefine/>
    <w:qFormat/>
    <w:uiPriority w:val="0"/>
    <w:pPr>
      <w:ind w:firstLine="420" w:firstLineChars="200"/>
    </w:pPr>
    <w:rPr>
      <w:rFonts w:ascii="Calibri" w:hAnsi="Calibri"/>
      <w:szCs w:val="22"/>
    </w:rPr>
  </w:style>
  <w:style w:type="paragraph" w:customStyle="1" w:styleId="32">
    <w:name w:val="列出段落11"/>
    <w:basedOn w:val="1"/>
    <w:autoRedefine/>
    <w:qFormat/>
    <w:uiPriority w:val="0"/>
    <w:pPr>
      <w:ind w:firstLine="420" w:firstLineChars="200"/>
    </w:pPr>
    <w:rPr>
      <w:rFonts w:ascii="Calibri" w:hAnsi="Calibri"/>
      <w:sz w:val="21"/>
      <w:szCs w:val="22"/>
    </w:rPr>
  </w:style>
  <w:style w:type="paragraph" w:customStyle="1" w:styleId="33">
    <w:name w:val="Table Text"/>
    <w:basedOn w:val="1"/>
    <w:semiHidden/>
    <w:qFormat/>
    <w:uiPriority w:val="0"/>
    <w:rPr>
      <w:rFonts w:ascii="宋体" w:hAnsi="宋体" w:eastAsia="宋体" w:cs="宋体"/>
      <w:sz w:val="19"/>
      <w:szCs w:val="19"/>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4987</Words>
  <Characters>5288</Characters>
  <Lines>0</Lines>
  <Paragraphs>0</Paragraphs>
  <TotalTime>16</TotalTime>
  <ScaleCrop>false</ScaleCrop>
  <LinksUpToDate>false</LinksUpToDate>
  <CharactersWithSpaces>5308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张梦媛</cp:lastModifiedBy>
  <cp:lastPrinted>2025-08-11T06:21:00Z</cp:lastPrinted>
  <dcterms:modified xsi:type="dcterms:W3CDTF">2025-08-13T09:36:43Z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eyJoZGlkIjoiMmYyNzJhMjNmMmIyN2M4MzM5MGI4Y2E4MDk4MzBkOGYiLCJ1c2VySWQiOiIxMjU3NDM4OTQxIn0=</vt:lpwstr>
  </property>
  <property fmtid="{D5CDD505-2E9C-101B-9397-08002B2CF9AE}" pid="4" name="ICV">
    <vt:lpwstr>3FCFC122E25546F4928D64CF63EA3026_13</vt:lpwstr>
  </property>
</Properties>
</file>