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C9E42">
      <w:pPr>
        <w:jc w:val="center"/>
        <w:outlineLvl w:val="1"/>
        <w:rPr>
          <w:rFonts w:ascii="宋体" w:hAnsi="宋体" w:cs="宋体"/>
          <w:b/>
          <w:color w:val="auto"/>
          <w:szCs w:val="21"/>
          <w:highlight w:val="none"/>
        </w:rPr>
      </w:pPr>
      <w:bookmarkStart w:id="0" w:name="_GoBack"/>
      <w:r>
        <w:rPr>
          <w:rFonts w:hint="eastAsia" w:ascii="宋体" w:hAnsi="宋体" w:cs="宋体"/>
          <w:b/>
          <w:color w:val="auto"/>
          <w:szCs w:val="21"/>
          <w:highlight w:val="none"/>
        </w:rPr>
        <w:t>评审标准</w:t>
      </w:r>
    </w:p>
    <w:bookmarkEnd w:id="0"/>
    <w:p w14:paraId="20C21946">
      <w:pPr>
        <w:tabs>
          <w:tab w:val="left" w:pos="8280"/>
        </w:tabs>
        <w:autoSpaceDE w:val="0"/>
        <w:autoSpaceDN w:val="0"/>
        <w:adjustRightInd w:val="0"/>
        <w:snapToGrid w:val="0"/>
        <w:ind w:right="32"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采用“综合评分法”的评审方法，在最大限度地满足响应文件实质性要求前提下，按技术商务和价格三部份分别打分的方式进行评分。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607"/>
        <w:gridCol w:w="854"/>
        <w:gridCol w:w="253"/>
        <w:gridCol w:w="965"/>
        <w:gridCol w:w="1170"/>
        <w:gridCol w:w="1134"/>
        <w:gridCol w:w="2874"/>
        <w:gridCol w:w="656"/>
      </w:tblGrid>
      <w:tr w14:paraId="0839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530" w:type="dxa"/>
          <w:trHeight w:val="510" w:hRule="atLeast"/>
          <w:jc w:val="center"/>
        </w:trPr>
        <w:tc>
          <w:tcPr>
            <w:tcW w:w="1463" w:type="dxa"/>
            <w:gridSpan w:val="3"/>
            <w:noWrap/>
            <w:vAlign w:val="center"/>
          </w:tcPr>
          <w:p w14:paraId="6B1A895D">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总分分值</w:t>
            </w:r>
          </w:p>
        </w:tc>
        <w:tc>
          <w:tcPr>
            <w:tcW w:w="1218" w:type="dxa"/>
            <w:gridSpan w:val="2"/>
            <w:noWrap/>
            <w:vAlign w:val="center"/>
          </w:tcPr>
          <w:p w14:paraId="3F28083B">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技术评分</w:t>
            </w:r>
          </w:p>
        </w:tc>
        <w:tc>
          <w:tcPr>
            <w:tcW w:w="1170" w:type="dxa"/>
            <w:noWrap/>
            <w:vAlign w:val="center"/>
          </w:tcPr>
          <w:p w14:paraId="14BDC2F9">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商务评分</w:t>
            </w:r>
          </w:p>
        </w:tc>
        <w:tc>
          <w:tcPr>
            <w:tcW w:w="1134" w:type="dxa"/>
            <w:noWrap/>
            <w:vAlign w:val="center"/>
          </w:tcPr>
          <w:p w14:paraId="2B653C0A">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价格评分</w:t>
            </w:r>
          </w:p>
        </w:tc>
      </w:tr>
      <w:tr w14:paraId="6D20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30" w:type="dxa"/>
          <w:trHeight w:val="510" w:hRule="atLeast"/>
          <w:jc w:val="center"/>
        </w:trPr>
        <w:tc>
          <w:tcPr>
            <w:tcW w:w="1463" w:type="dxa"/>
            <w:gridSpan w:val="3"/>
            <w:noWrap/>
            <w:vAlign w:val="center"/>
          </w:tcPr>
          <w:p w14:paraId="0EF053AF">
            <w:pPr>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c>
          <w:tcPr>
            <w:tcW w:w="1218" w:type="dxa"/>
            <w:gridSpan w:val="2"/>
            <w:noWrap/>
            <w:vAlign w:val="center"/>
          </w:tcPr>
          <w:p w14:paraId="28953FB3">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0分</w:t>
            </w:r>
          </w:p>
        </w:tc>
        <w:tc>
          <w:tcPr>
            <w:tcW w:w="1170" w:type="dxa"/>
            <w:noWrap/>
            <w:vAlign w:val="center"/>
          </w:tcPr>
          <w:p w14:paraId="5E5779C3">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tc>
        <w:tc>
          <w:tcPr>
            <w:tcW w:w="1134" w:type="dxa"/>
            <w:noWrap/>
            <w:vAlign w:val="center"/>
          </w:tcPr>
          <w:p w14:paraId="481C1B18">
            <w:pPr>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tc>
      </w:tr>
      <w:tr w14:paraId="5A02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Pr>
        <w:tc>
          <w:tcPr>
            <w:tcW w:w="607" w:type="dxa"/>
            <w:tcBorders>
              <w:right w:val="single" w:color="auto" w:sz="2" w:space="0"/>
            </w:tcBorders>
            <w:vAlign w:val="center"/>
          </w:tcPr>
          <w:p w14:paraId="67B22447">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07" w:type="dxa"/>
            <w:gridSpan w:val="2"/>
            <w:tcBorders>
              <w:right w:val="single" w:color="auto" w:sz="2" w:space="0"/>
            </w:tcBorders>
            <w:vAlign w:val="center"/>
          </w:tcPr>
          <w:p w14:paraId="3E1B3AD2">
            <w:pPr>
              <w:jc w:val="center"/>
              <w:rPr>
                <w:rFonts w:ascii="宋体" w:hAnsi="宋体" w:cs="宋体"/>
                <w:b/>
                <w:color w:val="auto"/>
                <w:szCs w:val="21"/>
                <w:highlight w:val="none"/>
              </w:rPr>
            </w:pPr>
            <w:r>
              <w:rPr>
                <w:rFonts w:hint="eastAsia" w:ascii="宋体" w:hAnsi="宋体" w:cs="宋体"/>
                <w:b/>
                <w:color w:val="auto"/>
                <w:szCs w:val="21"/>
                <w:highlight w:val="none"/>
              </w:rPr>
              <w:t>评审项目</w:t>
            </w:r>
          </w:p>
        </w:tc>
        <w:tc>
          <w:tcPr>
            <w:tcW w:w="6143" w:type="dxa"/>
            <w:gridSpan w:val="4"/>
            <w:tcBorders>
              <w:left w:val="single" w:color="auto" w:sz="2" w:space="0"/>
            </w:tcBorders>
            <w:vAlign w:val="center"/>
          </w:tcPr>
          <w:p w14:paraId="58958FB9">
            <w:pPr>
              <w:rPr>
                <w:rFonts w:ascii="宋体" w:hAnsi="宋体" w:cs="宋体"/>
                <w:b/>
                <w:color w:val="auto"/>
                <w:szCs w:val="21"/>
                <w:highlight w:val="none"/>
              </w:rPr>
            </w:pPr>
            <w:r>
              <w:rPr>
                <w:rFonts w:hint="eastAsia" w:ascii="宋体" w:hAnsi="宋体" w:cs="宋体"/>
                <w:b/>
                <w:color w:val="auto"/>
                <w:szCs w:val="21"/>
                <w:highlight w:val="none"/>
              </w:rPr>
              <w:t>评审标准</w:t>
            </w:r>
          </w:p>
        </w:tc>
        <w:tc>
          <w:tcPr>
            <w:tcW w:w="656" w:type="dxa"/>
            <w:vAlign w:val="center"/>
          </w:tcPr>
          <w:p w14:paraId="135068A9">
            <w:pPr>
              <w:jc w:val="center"/>
              <w:rPr>
                <w:rFonts w:ascii="宋体" w:hAnsi="宋体" w:cs="宋体"/>
                <w:b/>
                <w:color w:val="auto"/>
                <w:szCs w:val="21"/>
                <w:highlight w:val="none"/>
              </w:rPr>
            </w:pPr>
            <w:r>
              <w:rPr>
                <w:rFonts w:hint="eastAsia" w:ascii="宋体" w:hAnsi="宋体" w:cs="宋体"/>
                <w:b/>
                <w:color w:val="auto"/>
                <w:szCs w:val="21"/>
                <w:highlight w:val="none"/>
              </w:rPr>
              <w:t>单项</w:t>
            </w:r>
          </w:p>
          <w:p w14:paraId="6325F6A0">
            <w:pPr>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14:paraId="31B3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Pr>
        <w:tc>
          <w:tcPr>
            <w:tcW w:w="607" w:type="dxa"/>
            <w:tcBorders>
              <w:right w:val="single" w:color="auto" w:sz="2" w:space="0"/>
            </w:tcBorders>
            <w:vAlign w:val="center"/>
          </w:tcPr>
          <w:p w14:paraId="7F885BF0">
            <w:pPr>
              <w:jc w:val="center"/>
              <w:rPr>
                <w:rFonts w:hint="eastAsia" w:ascii="宋体" w:hAnsi="宋体" w:eastAsia="宋体" w:cs="宋体"/>
                <w:b/>
                <w:color w:val="auto"/>
                <w:szCs w:val="21"/>
                <w:highlight w:val="none"/>
                <w:lang w:eastAsia="zh-CN"/>
              </w:rPr>
            </w:pPr>
            <w:r>
              <w:rPr>
                <w:rFonts w:hint="eastAsia" w:ascii="宋体" w:hAnsi="宋体" w:cs="宋体"/>
                <w:bCs/>
                <w:color w:val="auto"/>
                <w:szCs w:val="21"/>
                <w:highlight w:val="none"/>
                <w:lang w:val="en-US" w:eastAsia="zh-CN"/>
              </w:rPr>
              <w:t>1</w:t>
            </w:r>
          </w:p>
        </w:tc>
        <w:tc>
          <w:tcPr>
            <w:tcW w:w="1107" w:type="dxa"/>
            <w:gridSpan w:val="2"/>
            <w:tcBorders>
              <w:right w:val="single" w:color="auto" w:sz="2" w:space="0"/>
            </w:tcBorders>
            <w:vAlign w:val="center"/>
          </w:tcPr>
          <w:p w14:paraId="0891B08D">
            <w:pPr>
              <w:jc w:val="center"/>
              <w:rPr>
                <w:rFonts w:ascii="宋体" w:hAnsi="宋体" w:cs="宋体"/>
                <w:b/>
                <w:bCs/>
                <w:color w:val="auto"/>
                <w:szCs w:val="21"/>
                <w:highlight w:val="none"/>
              </w:rPr>
            </w:pPr>
            <w:r>
              <w:rPr>
                <w:rFonts w:hint="eastAsia" w:ascii="宋体" w:hAnsi="宋体" w:cs="宋体"/>
                <w:b/>
                <w:bCs/>
                <w:color w:val="auto"/>
                <w:szCs w:val="21"/>
                <w:highlight w:val="none"/>
              </w:rPr>
              <w:t>施工进度计划、工期</w:t>
            </w:r>
          </w:p>
          <w:p w14:paraId="39A7FF72">
            <w:pPr>
              <w:jc w:val="center"/>
              <w:rPr>
                <w:rFonts w:ascii="宋体" w:hAnsi="宋体" w:cs="宋体"/>
                <w:b/>
                <w:bCs/>
                <w:color w:val="auto"/>
                <w:szCs w:val="21"/>
                <w:highlight w:val="none"/>
              </w:rPr>
            </w:pPr>
            <w:r>
              <w:rPr>
                <w:rFonts w:hint="eastAsia" w:ascii="宋体" w:hAnsi="宋体" w:cs="宋体"/>
                <w:b/>
                <w:bCs/>
                <w:color w:val="auto"/>
                <w:szCs w:val="21"/>
                <w:highlight w:val="none"/>
              </w:rPr>
              <w:t>保证措施</w:t>
            </w:r>
          </w:p>
        </w:tc>
        <w:tc>
          <w:tcPr>
            <w:tcW w:w="6143" w:type="dxa"/>
            <w:gridSpan w:val="4"/>
            <w:tcBorders>
              <w:left w:val="single" w:color="auto" w:sz="2" w:space="0"/>
            </w:tcBorders>
            <w:vAlign w:val="center"/>
          </w:tcPr>
          <w:p w14:paraId="04D2EF87">
            <w:pPr>
              <w:numPr>
                <w:ilvl w:val="0"/>
                <w:numId w:val="1"/>
              </w:numPr>
              <w:rPr>
                <w:rFonts w:ascii="宋体" w:hAnsi="宋体" w:cs="宋体"/>
                <w:color w:val="auto"/>
                <w:szCs w:val="21"/>
                <w:highlight w:val="none"/>
              </w:rPr>
            </w:pPr>
            <w:r>
              <w:rPr>
                <w:rFonts w:hint="eastAsia" w:ascii="宋体" w:hAnsi="宋体" w:cs="宋体"/>
                <w:color w:val="auto"/>
                <w:szCs w:val="21"/>
                <w:highlight w:val="none"/>
              </w:rPr>
              <w:t>供应商对项目总体认识全面深刻，论述完整清晰，总体组织符合实际、关键线路清晰、准确、完整，计划编制合理、可行，满足遴选文件对工期的要求，对关键节点的控制措施有力、合理、可行，得10分；</w:t>
            </w:r>
          </w:p>
          <w:p w14:paraId="080CA305">
            <w:pPr>
              <w:numPr>
                <w:ilvl w:val="0"/>
                <w:numId w:val="1"/>
              </w:numPr>
              <w:rPr>
                <w:rFonts w:ascii="宋体" w:hAnsi="宋体" w:cs="宋体"/>
                <w:color w:val="auto"/>
                <w:szCs w:val="21"/>
                <w:highlight w:val="none"/>
              </w:rPr>
            </w:pPr>
            <w:r>
              <w:rPr>
                <w:rFonts w:hint="eastAsia" w:ascii="宋体" w:hAnsi="宋体" w:cs="宋体"/>
                <w:color w:val="auto"/>
                <w:szCs w:val="21"/>
                <w:highlight w:val="none"/>
              </w:rPr>
              <w:t>供应商对项目总体认识较全面深刻，论述完整较清晰，总体组织较符合实际、关键线路较清晰、准确、完整，计划编制较合理、可行，较可满足遴选文件对工期的要求，对关键节点的控制措施较有力、合理、可行，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06286430">
            <w:pPr>
              <w:numPr>
                <w:ilvl w:val="0"/>
                <w:numId w:val="1"/>
              </w:numPr>
              <w:rPr>
                <w:rFonts w:ascii="宋体" w:hAnsi="宋体" w:cs="宋体"/>
                <w:color w:val="auto"/>
                <w:szCs w:val="21"/>
                <w:highlight w:val="none"/>
              </w:rPr>
            </w:pPr>
            <w:r>
              <w:rPr>
                <w:rFonts w:hint="eastAsia" w:ascii="宋体" w:hAnsi="宋体" w:cs="宋体"/>
                <w:color w:val="auto"/>
                <w:szCs w:val="21"/>
                <w:highlight w:val="none"/>
              </w:rPr>
              <w:t>供应商对项目总体认不够深刻，论述完整不够清晰，总体组织不够符合实际、关键线路不够清晰、准确、完整，计划编制相对模糊，仅勉强满足遴选文件对工期的要求，对关键节点的控制措施基本有力、合理、可行，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50FE3A5D">
            <w:pPr>
              <w:rPr>
                <w:rFonts w:ascii="宋体" w:hAnsi="宋体" w:cs="宋体"/>
                <w:color w:val="auto"/>
                <w:szCs w:val="21"/>
                <w:highlight w:val="none"/>
              </w:rPr>
            </w:pPr>
            <w:r>
              <w:rPr>
                <w:rFonts w:hint="eastAsia" w:ascii="宋体" w:hAnsi="宋体" w:cs="宋体"/>
                <w:color w:val="auto"/>
                <w:szCs w:val="21"/>
                <w:highlight w:val="none"/>
              </w:rPr>
              <w:t>4)无相关描述不得分。</w:t>
            </w:r>
          </w:p>
        </w:tc>
        <w:tc>
          <w:tcPr>
            <w:tcW w:w="656" w:type="dxa"/>
            <w:vAlign w:val="center"/>
          </w:tcPr>
          <w:p w14:paraId="7C82DD84">
            <w:pPr>
              <w:jc w:val="center"/>
              <w:rPr>
                <w:rFonts w:ascii="宋体" w:hAnsi="宋体" w:cs="宋体"/>
                <w:color w:val="auto"/>
                <w:szCs w:val="21"/>
                <w:highlight w:val="none"/>
              </w:rPr>
            </w:pPr>
            <w:r>
              <w:rPr>
                <w:rFonts w:hint="eastAsia" w:ascii="宋体" w:hAnsi="宋体" w:cs="宋体"/>
                <w:color w:val="auto"/>
                <w:szCs w:val="21"/>
                <w:highlight w:val="none"/>
              </w:rPr>
              <w:t>10分</w:t>
            </w:r>
          </w:p>
        </w:tc>
      </w:tr>
      <w:tr w14:paraId="1EE2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Pr>
        <w:tc>
          <w:tcPr>
            <w:tcW w:w="607" w:type="dxa"/>
            <w:vAlign w:val="center"/>
          </w:tcPr>
          <w:p w14:paraId="7266A6B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107" w:type="dxa"/>
            <w:gridSpan w:val="2"/>
            <w:vAlign w:val="center"/>
          </w:tcPr>
          <w:p w14:paraId="5F86651A">
            <w:pPr>
              <w:jc w:val="center"/>
              <w:rPr>
                <w:rFonts w:ascii="宋体" w:hAnsi="宋体" w:cs="宋体"/>
                <w:b/>
                <w:bCs/>
                <w:color w:val="auto"/>
                <w:szCs w:val="21"/>
                <w:highlight w:val="none"/>
              </w:rPr>
            </w:pPr>
            <w:r>
              <w:rPr>
                <w:rFonts w:hint="eastAsia" w:ascii="宋体" w:hAnsi="宋体" w:cs="宋体"/>
                <w:b/>
                <w:bCs/>
                <w:color w:val="auto"/>
                <w:szCs w:val="21"/>
                <w:highlight w:val="none"/>
              </w:rPr>
              <w:t>施工组织设计、技术方案及施工部署</w:t>
            </w:r>
          </w:p>
        </w:tc>
        <w:tc>
          <w:tcPr>
            <w:tcW w:w="6143" w:type="dxa"/>
            <w:gridSpan w:val="4"/>
          </w:tcPr>
          <w:p w14:paraId="0F95AB6B">
            <w:pPr>
              <w:rPr>
                <w:rFonts w:ascii="宋体" w:hAnsi="宋体" w:cs="宋体"/>
                <w:color w:val="auto"/>
                <w:szCs w:val="21"/>
                <w:highlight w:val="none"/>
              </w:rPr>
            </w:pPr>
            <w:r>
              <w:rPr>
                <w:rFonts w:hint="eastAsia" w:ascii="宋体" w:hAnsi="宋体" w:cs="宋体"/>
                <w:color w:val="auto"/>
                <w:szCs w:val="21"/>
                <w:highlight w:val="none"/>
              </w:rPr>
              <w:t>1）供应商对该项目施工组织方案、技术措施及施工现场规划先进合理，清晰理解工程重点难点，施工关键技术工艺把握准确，技术措施能够充分保障工程质量、工期和施工安全生产，得10分；</w:t>
            </w:r>
          </w:p>
          <w:p w14:paraId="0D53E74E">
            <w:pPr>
              <w:rPr>
                <w:rFonts w:ascii="宋体" w:hAnsi="宋体" w:cs="宋体"/>
                <w:color w:val="auto"/>
                <w:szCs w:val="21"/>
                <w:highlight w:val="none"/>
              </w:rPr>
            </w:pPr>
            <w:r>
              <w:rPr>
                <w:rFonts w:hint="eastAsia" w:ascii="宋体" w:hAnsi="宋体" w:cs="宋体"/>
                <w:color w:val="auto"/>
                <w:szCs w:val="21"/>
                <w:highlight w:val="none"/>
              </w:rPr>
              <w:t>2）供应商对该项目施工组织方案、技术措施及施工现场规划较先进合理，较能清晰理解工程重点难点，施工关键技术工艺把握较准确，技术措施较能保障工程质量、工期和施工安全生产，得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0D03A1AF">
            <w:pPr>
              <w:rPr>
                <w:rFonts w:ascii="宋体" w:hAnsi="宋体" w:cs="宋体"/>
                <w:color w:val="auto"/>
                <w:szCs w:val="21"/>
                <w:highlight w:val="none"/>
              </w:rPr>
            </w:pPr>
            <w:r>
              <w:rPr>
                <w:rFonts w:hint="eastAsia" w:ascii="宋体" w:hAnsi="宋体" w:cs="宋体"/>
                <w:color w:val="auto"/>
                <w:szCs w:val="21"/>
                <w:highlight w:val="none"/>
              </w:rPr>
              <w:t>3）供应商对该项目施工组织方案、技术措施及施工现场规划不够合理，工程重点难点、施工关键技术工艺把握不够准确，技术措施基本能保障工程质量、工期和施工安全生产，得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41490410">
            <w:pPr>
              <w:rPr>
                <w:rFonts w:ascii="宋体" w:hAnsi="宋体" w:cs="宋体"/>
                <w:color w:val="auto"/>
                <w:szCs w:val="21"/>
                <w:highlight w:val="none"/>
              </w:rPr>
            </w:pPr>
            <w:r>
              <w:rPr>
                <w:rFonts w:hint="eastAsia" w:ascii="宋体" w:hAnsi="宋体" w:cs="宋体"/>
                <w:color w:val="auto"/>
                <w:szCs w:val="21"/>
                <w:highlight w:val="none"/>
              </w:rPr>
              <w:t>4)无相关描述不得分。</w:t>
            </w:r>
          </w:p>
        </w:tc>
        <w:tc>
          <w:tcPr>
            <w:tcW w:w="656" w:type="dxa"/>
            <w:vAlign w:val="center"/>
          </w:tcPr>
          <w:p w14:paraId="775C2F81">
            <w:pPr>
              <w:jc w:val="center"/>
              <w:rPr>
                <w:rFonts w:ascii="宋体" w:hAnsi="宋体" w:cs="宋体"/>
                <w:color w:val="auto"/>
                <w:szCs w:val="21"/>
                <w:highlight w:val="none"/>
              </w:rPr>
            </w:pPr>
            <w:r>
              <w:rPr>
                <w:rFonts w:hint="eastAsia" w:ascii="宋体" w:hAnsi="宋体" w:cs="宋体"/>
                <w:color w:val="auto"/>
                <w:szCs w:val="21"/>
                <w:highlight w:val="none"/>
              </w:rPr>
              <w:t>10分</w:t>
            </w:r>
          </w:p>
        </w:tc>
      </w:tr>
      <w:tr w14:paraId="3B84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3" w:hRule="atLeast"/>
        </w:trPr>
        <w:tc>
          <w:tcPr>
            <w:tcW w:w="607" w:type="dxa"/>
            <w:vAlign w:val="center"/>
          </w:tcPr>
          <w:p w14:paraId="0F8F321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107" w:type="dxa"/>
            <w:gridSpan w:val="2"/>
            <w:vAlign w:val="center"/>
          </w:tcPr>
          <w:p w14:paraId="010991C6">
            <w:pPr>
              <w:jc w:val="center"/>
              <w:rPr>
                <w:rFonts w:ascii="宋体" w:hAnsi="宋体" w:cs="宋体"/>
                <w:b/>
                <w:bCs/>
                <w:color w:val="auto"/>
                <w:szCs w:val="21"/>
                <w:highlight w:val="none"/>
              </w:rPr>
            </w:pPr>
            <w:r>
              <w:rPr>
                <w:rFonts w:hint="eastAsia" w:ascii="宋体" w:hAnsi="宋体" w:cs="宋体"/>
                <w:b/>
                <w:bCs/>
                <w:color w:val="auto"/>
                <w:szCs w:val="21"/>
                <w:highlight w:val="none"/>
              </w:rPr>
              <w:t>安全、文明施工、环保措施</w:t>
            </w:r>
          </w:p>
        </w:tc>
        <w:tc>
          <w:tcPr>
            <w:tcW w:w="6143" w:type="dxa"/>
            <w:gridSpan w:val="4"/>
            <w:vAlign w:val="center"/>
          </w:tcPr>
          <w:p w14:paraId="7CCD00BF">
            <w:pPr>
              <w:rPr>
                <w:rFonts w:ascii="宋体" w:hAnsi="宋体" w:cs="宋体"/>
                <w:color w:val="auto"/>
                <w:szCs w:val="21"/>
                <w:highlight w:val="none"/>
              </w:rPr>
            </w:pPr>
            <w:r>
              <w:rPr>
                <w:rFonts w:hint="eastAsia" w:ascii="宋体" w:hAnsi="宋体" w:cs="宋体"/>
                <w:color w:val="auto"/>
                <w:szCs w:val="21"/>
                <w:highlight w:val="none"/>
              </w:rPr>
              <w:t>1）供应商针对项目实际情况，有先进、具体、完整、可行的措施，采用安全生产标准化达标规范指导实践的，得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分；  </w:t>
            </w:r>
          </w:p>
          <w:p w14:paraId="7A62E1C5">
            <w:pPr>
              <w:rPr>
                <w:rFonts w:ascii="宋体" w:hAnsi="宋体" w:cs="宋体"/>
                <w:color w:val="auto"/>
                <w:szCs w:val="21"/>
                <w:highlight w:val="none"/>
              </w:rPr>
            </w:pPr>
            <w:r>
              <w:rPr>
                <w:rFonts w:hint="eastAsia" w:ascii="宋体" w:hAnsi="宋体" w:cs="宋体"/>
                <w:color w:val="auto"/>
                <w:szCs w:val="21"/>
                <w:highlight w:val="none"/>
              </w:rPr>
              <w:t>2）针对项目实际情况，有合理的措施且具体、完整，采用规范准确，得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1AA454ED">
            <w:pPr>
              <w:rPr>
                <w:rFonts w:ascii="宋体" w:hAnsi="宋体" w:cs="宋体"/>
                <w:color w:val="auto"/>
                <w:szCs w:val="21"/>
                <w:highlight w:val="none"/>
              </w:rPr>
            </w:pPr>
            <w:r>
              <w:rPr>
                <w:rFonts w:hint="eastAsia" w:ascii="宋体" w:hAnsi="宋体" w:cs="宋体"/>
                <w:color w:val="auto"/>
                <w:szCs w:val="21"/>
                <w:highlight w:val="none"/>
              </w:rPr>
              <w:t>3）有基本合理的措施，采用规范准确，得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3AFF478B">
            <w:pPr>
              <w:rPr>
                <w:rFonts w:ascii="宋体" w:hAnsi="宋体" w:cs="宋体"/>
                <w:color w:val="auto"/>
                <w:szCs w:val="21"/>
                <w:highlight w:val="none"/>
              </w:rPr>
            </w:pPr>
            <w:r>
              <w:rPr>
                <w:rFonts w:hint="eastAsia" w:ascii="宋体" w:hAnsi="宋体" w:cs="宋体"/>
                <w:color w:val="auto"/>
                <w:szCs w:val="21"/>
                <w:highlight w:val="none"/>
              </w:rPr>
              <w:t>4）无相关描述不得分。</w:t>
            </w:r>
          </w:p>
        </w:tc>
        <w:tc>
          <w:tcPr>
            <w:tcW w:w="656" w:type="dxa"/>
            <w:vAlign w:val="center"/>
          </w:tcPr>
          <w:p w14:paraId="3A367A58">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5F71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3" w:hRule="atLeast"/>
        </w:trPr>
        <w:tc>
          <w:tcPr>
            <w:tcW w:w="607" w:type="dxa"/>
            <w:vAlign w:val="center"/>
          </w:tcPr>
          <w:p w14:paraId="14B3B5ED">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107" w:type="dxa"/>
            <w:gridSpan w:val="2"/>
            <w:vAlign w:val="center"/>
          </w:tcPr>
          <w:p w14:paraId="2155FB0B">
            <w:pPr>
              <w:jc w:val="center"/>
              <w:rPr>
                <w:rFonts w:ascii="宋体" w:hAnsi="宋体" w:cs="宋体"/>
                <w:b/>
                <w:bCs/>
                <w:color w:val="auto"/>
                <w:szCs w:val="21"/>
                <w:highlight w:val="none"/>
              </w:rPr>
            </w:pPr>
            <w:r>
              <w:rPr>
                <w:rFonts w:hint="eastAsia" w:ascii="宋体" w:hAnsi="宋体" w:cs="宋体"/>
                <w:b/>
                <w:bCs/>
                <w:color w:val="auto"/>
                <w:kern w:val="0"/>
                <w:szCs w:val="21"/>
                <w:highlight w:val="none"/>
              </w:rPr>
              <w:t>保修服务方案</w:t>
            </w:r>
          </w:p>
        </w:tc>
        <w:tc>
          <w:tcPr>
            <w:tcW w:w="6143" w:type="dxa"/>
            <w:gridSpan w:val="4"/>
            <w:vAlign w:val="center"/>
          </w:tcPr>
          <w:p w14:paraId="56E87D5A">
            <w:pPr>
              <w:pStyle w:val="9"/>
              <w:ind w:right="75"/>
              <w:jc w:val="left"/>
              <w:rPr>
                <w:color w:val="auto"/>
                <w:szCs w:val="21"/>
                <w:highlight w:val="none"/>
                <w:lang w:val="en-US"/>
              </w:rPr>
            </w:pPr>
            <w:r>
              <w:rPr>
                <w:rFonts w:hint="eastAsia"/>
                <w:color w:val="auto"/>
                <w:szCs w:val="21"/>
                <w:highlight w:val="none"/>
                <w:lang w:val="en-US"/>
              </w:rPr>
              <w:t>根据供应商提供给的保修服务方案进行评审：</w:t>
            </w:r>
          </w:p>
          <w:p w14:paraId="3FFBC2AD">
            <w:pPr>
              <w:pStyle w:val="9"/>
              <w:ind w:right="75"/>
              <w:jc w:val="left"/>
              <w:rPr>
                <w:color w:val="auto"/>
                <w:szCs w:val="21"/>
                <w:highlight w:val="none"/>
              </w:rPr>
            </w:pPr>
            <w:r>
              <w:rPr>
                <w:rFonts w:hint="eastAsia"/>
                <w:color w:val="auto"/>
                <w:szCs w:val="21"/>
                <w:highlight w:val="none"/>
              </w:rPr>
              <w:t>有针对本项目</w:t>
            </w:r>
            <w:r>
              <w:rPr>
                <w:rFonts w:hint="eastAsia"/>
                <w:color w:val="auto"/>
                <w:szCs w:val="21"/>
                <w:highlight w:val="none"/>
                <w:lang w:val="en-US"/>
              </w:rPr>
              <w:t>制定</w:t>
            </w:r>
            <w:r>
              <w:rPr>
                <w:rFonts w:hint="eastAsia"/>
                <w:color w:val="auto"/>
                <w:szCs w:val="21"/>
                <w:highlight w:val="none"/>
              </w:rPr>
              <w:t>详细具体的保修服务计划，</w:t>
            </w:r>
            <w:r>
              <w:rPr>
                <w:rFonts w:hint="eastAsia"/>
                <w:color w:val="auto"/>
                <w:szCs w:val="21"/>
                <w:highlight w:val="none"/>
                <w:lang w:val="en-US"/>
              </w:rPr>
              <w:t>方案内容具有很强的</w:t>
            </w:r>
            <w:r>
              <w:rPr>
                <w:rFonts w:hint="eastAsia"/>
                <w:color w:val="auto"/>
                <w:szCs w:val="21"/>
                <w:highlight w:val="none"/>
              </w:rPr>
              <w:t>合理</w:t>
            </w:r>
            <w:r>
              <w:rPr>
                <w:rFonts w:hint="eastAsia"/>
                <w:color w:val="auto"/>
                <w:szCs w:val="21"/>
                <w:highlight w:val="none"/>
                <w:lang w:val="en-US"/>
              </w:rPr>
              <w:t>性</w:t>
            </w:r>
            <w:r>
              <w:rPr>
                <w:rFonts w:hint="eastAsia"/>
                <w:color w:val="auto"/>
                <w:szCs w:val="21"/>
                <w:highlight w:val="none"/>
              </w:rPr>
              <w:t>、先进</w:t>
            </w:r>
            <w:r>
              <w:rPr>
                <w:rFonts w:hint="eastAsia"/>
                <w:color w:val="auto"/>
                <w:szCs w:val="21"/>
                <w:highlight w:val="none"/>
                <w:lang w:val="en-US"/>
              </w:rPr>
              <w:t>性、稳定性的</w:t>
            </w:r>
            <w:r>
              <w:rPr>
                <w:rFonts w:hint="eastAsia"/>
                <w:color w:val="auto"/>
                <w:szCs w:val="21"/>
                <w:highlight w:val="none"/>
              </w:rPr>
              <w:t>，得</w:t>
            </w:r>
            <w:r>
              <w:rPr>
                <w:rFonts w:hint="eastAsia"/>
                <w:color w:val="auto"/>
                <w:szCs w:val="21"/>
                <w:highlight w:val="none"/>
                <w:lang w:val="en-US" w:eastAsia="zh-CN"/>
              </w:rPr>
              <w:t>10</w:t>
            </w:r>
            <w:r>
              <w:rPr>
                <w:rFonts w:hint="eastAsia"/>
                <w:color w:val="auto"/>
                <w:szCs w:val="21"/>
                <w:highlight w:val="none"/>
              </w:rPr>
              <w:t xml:space="preserve">分。 </w:t>
            </w:r>
          </w:p>
          <w:p w14:paraId="0D12DB0A">
            <w:pPr>
              <w:pStyle w:val="9"/>
              <w:ind w:right="75"/>
              <w:jc w:val="left"/>
              <w:rPr>
                <w:color w:val="auto"/>
                <w:szCs w:val="21"/>
                <w:highlight w:val="none"/>
              </w:rPr>
            </w:pPr>
            <w:r>
              <w:rPr>
                <w:rFonts w:hint="eastAsia"/>
                <w:color w:val="auto"/>
                <w:szCs w:val="21"/>
                <w:highlight w:val="none"/>
              </w:rPr>
              <w:t>保修服务计划基本详细、具体，</w:t>
            </w:r>
            <w:r>
              <w:rPr>
                <w:rFonts w:hint="eastAsia"/>
                <w:color w:val="auto"/>
                <w:szCs w:val="21"/>
                <w:highlight w:val="none"/>
                <w:lang w:val="en-US"/>
              </w:rPr>
              <w:t>方案内容具有</w:t>
            </w:r>
            <w:r>
              <w:rPr>
                <w:rFonts w:hint="eastAsia"/>
                <w:color w:val="auto"/>
                <w:szCs w:val="21"/>
                <w:highlight w:val="none"/>
              </w:rPr>
              <w:t>合理</w:t>
            </w:r>
            <w:r>
              <w:rPr>
                <w:rFonts w:hint="eastAsia"/>
                <w:color w:val="auto"/>
                <w:szCs w:val="21"/>
                <w:highlight w:val="none"/>
                <w:lang w:val="en-US"/>
              </w:rPr>
              <w:t>性</w:t>
            </w:r>
            <w:r>
              <w:rPr>
                <w:rFonts w:hint="eastAsia"/>
                <w:color w:val="auto"/>
                <w:szCs w:val="21"/>
                <w:highlight w:val="none"/>
              </w:rPr>
              <w:t>、先进</w:t>
            </w:r>
            <w:r>
              <w:rPr>
                <w:rFonts w:hint="eastAsia"/>
                <w:color w:val="auto"/>
                <w:szCs w:val="21"/>
                <w:highlight w:val="none"/>
                <w:lang w:val="en-US"/>
              </w:rPr>
              <w:t>性、稳定性的</w:t>
            </w:r>
            <w:r>
              <w:rPr>
                <w:rFonts w:hint="eastAsia"/>
                <w:color w:val="auto"/>
                <w:szCs w:val="21"/>
                <w:highlight w:val="none"/>
              </w:rPr>
              <w:t>，得</w:t>
            </w:r>
            <w:r>
              <w:rPr>
                <w:rFonts w:hint="eastAsia"/>
                <w:color w:val="auto"/>
                <w:szCs w:val="21"/>
                <w:highlight w:val="none"/>
                <w:lang w:val="en-US" w:eastAsia="zh-CN"/>
              </w:rPr>
              <w:t>7</w:t>
            </w:r>
            <w:r>
              <w:rPr>
                <w:rFonts w:hint="eastAsia"/>
                <w:color w:val="auto"/>
                <w:szCs w:val="21"/>
                <w:highlight w:val="none"/>
              </w:rPr>
              <w:t xml:space="preserve">分。 </w:t>
            </w:r>
          </w:p>
          <w:p w14:paraId="72F759A0">
            <w:pPr>
              <w:pStyle w:val="9"/>
              <w:ind w:right="75"/>
              <w:jc w:val="left"/>
              <w:rPr>
                <w:color w:val="auto"/>
                <w:szCs w:val="21"/>
                <w:highlight w:val="none"/>
              </w:rPr>
            </w:pPr>
            <w:r>
              <w:rPr>
                <w:rFonts w:hint="eastAsia"/>
                <w:color w:val="auto"/>
                <w:szCs w:val="21"/>
                <w:highlight w:val="none"/>
              </w:rPr>
              <w:t>保修服务计划简单，</w:t>
            </w:r>
            <w:r>
              <w:rPr>
                <w:rFonts w:hint="eastAsia"/>
                <w:color w:val="auto"/>
                <w:szCs w:val="21"/>
                <w:highlight w:val="none"/>
                <w:lang w:val="en-US"/>
              </w:rPr>
              <w:t>方案内容</w:t>
            </w:r>
            <w:r>
              <w:rPr>
                <w:rFonts w:hint="eastAsia"/>
                <w:color w:val="auto"/>
                <w:szCs w:val="21"/>
                <w:highlight w:val="none"/>
              </w:rPr>
              <w:t>合理</w:t>
            </w:r>
            <w:r>
              <w:rPr>
                <w:rFonts w:hint="eastAsia"/>
                <w:color w:val="auto"/>
                <w:szCs w:val="21"/>
                <w:highlight w:val="none"/>
                <w:lang w:val="en-US"/>
              </w:rPr>
              <w:t>性</w:t>
            </w:r>
            <w:r>
              <w:rPr>
                <w:rFonts w:hint="eastAsia"/>
                <w:color w:val="auto"/>
                <w:szCs w:val="21"/>
                <w:highlight w:val="none"/>
              </w:rPr>
              <w:t>、先进</w:t>
            </w:r>
            <w:r>
              <w:rPr>
                <w:rFonts w:hint="eastAsia"/>
                <w:color w:val="auto"/>
                <w:szCs w:val="21"/>
                <w:highlight w:val="none"/>
                <w:lang w:val="en-US"/>
              </w:rPr>
              <w:t>性、稳定性一般的</w:t>
            </w:r>
            <w:r>
              <w:rPr>
                <w:rFonts w:hint="eastAsia"/>
                <w:color w:val="auto"/>
                <w:szCs w:val="21"/>
                <w:highlight w:val="none"/>
              </w:rPr>
              <w:t>，得</w:t>
            </w:r>
            <w:r>
              <w:rPr>
                <w:rFonts w:hint="eastAsia"/>
                <w:color w:val="auto"/>
                <w:szCs w:val="21"/>
                <w:highlight w:val="none"/>
                <w:lang w:val="en-US" w:eastAsia="zh-CN"/>
              </w:rPr>
              <w:t>4</w:t>
            </w:r>
            <w:r>
              <w:rPr>
                <w:rFonts w:hint="eastAsia"/>
                <w:color w:val="auto"/>
                <w:szCs w:val="21"/>
                <w:highlight w:val="none"/>
              </w:rPr>
              <w:t xml:space="preserve">分。 </w:t>
            </w:r>
          </w:p>
          <w:p w14:paraId="1CFB2CB3">
            <w:pPr>
              <w:jc w:val="left"/>
              <w:rPr>
                <w:rFonts w:ascii="宋体" w:hAnsi="宋体" w:cs="宋体"/>
                <w:color w:val="auto"/>
                <w:szCs w:val="21"/>
                <w:highlight w:val="none"/>
              </w:rPr>
            </w:pPr>
            <w:r>
              <w:rPr>
                <w:rFonts w:hint="eastAsia" w:ascii="宋体" w:hAnsi="宋体" w:cs="宋体"/>
                <w:color w:val="auto"/>
                <w:szCs w:val="21"/>
                <w:highlight w:val="none"/>
              </w:rPr>
              <w:t>没有提供，得0分。</w:t>
            </w:r>
          </w:p>
        </w:tc>
        <w:tc>
          <w:tcPr>
            <w:tcW w:w="656" w:type="dxa"/>
            <w:vAlign w:val="center"/>
          </w:tcPr>
          <w:p w14:paraId="34EEEB3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0F71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Pr>
        <w:tc>
          <w:tcPr>
            <w:tcW w:w="7857" w:type="dxa"/>
            <w:gridSpan w:val="7"/>
          </w:tcPr>
          <w:p w14:paraId="402DD9B4">
            <w:pPr>
              <w:jc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656" w:type="dxa"/>
          </w:tcPr>
          <w:p w14:paraId="3D469C9A">
            <w:pPr>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0分</w:t>
            </w:r>
          </w:p>
        </w:tc>
      </w:tr>
    </w:tbl>
    <w:p w14:paraId="0F81D77F">
      <w:pPr>
        <w:rPr>
          <w:rFonts w:ascii="宋体" w:hAnsi="宋体" w:cs="宋体"/>
          <w:color w:val="auto"/>
          <w:szCs w:val="21"/>
          <w:highlight w:val="none"/>
        </w:rPr>
      </w:pPr>
    </w:p>
    <w:p w14:paraId="66E3E3BA">
      <w:pPr>
        <w:rPr>
          <w:rFonts w:ascii="宋体" w:hAnsi="宋体" w:cs="宋体"/>
          <w:color w:val="auto"/>
          <w:szCs w:val="21"/>
          <w:highlight w:val="none"/>
        </w:rPr>
      </w:pPr>
      <w:r>
        <w:rPr>
          <w:rFonts w:hint="eastAsia" w:ascii="宋体" w:hAnsi="宋体" w:cs="宋体"/>
          <w:color w:val="auto"/>
          <w:szCs w:val="21"/>
          <w:highlight w:val="none"/>
        </w:rPr>
        <w:t>(2)商务评价：</w:t>
      </w:r>
    </w:p>
    <w:tbl>
      <w:tblPr>
        <w:tblStyle w:val="6"/>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212"/>
        <w:gridCol w:w="5204"/>
        <w:gridCol w:w="1511"/>
      </w:tblGrid>
      <w:tr w14:paraId="334C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tcBorders>
              <w:top w:val="single" w:color="auto" w:sz="4" w:space="0"/>
              <w:left w:val="single" w:color="auto" w:sz="4" w:space="0"/>
              <w:bottom w:val="single" w:color="auto" w:sz="4" w:space="0"/>
              <w:right w:val="single" w:color="auto" w:sz="4" w:space="0"/>
            </w:tcBorders>
            <w:noWrap/>
            <w:vAlign w:val="center"/>
          </w:tcPr>
          <w:p w14:paraId="07796164">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29" w:type="pct"/>
            <w:tcBorders>
              <w:top w:val="single" w:color="auto" w:sz="4" w:space="0"/>
              <w:left w:val="single" w:color="auto" w:sz="4" w:space="0"/>
              <w:bottom w:val="single" w:color="auto" w:sz="4" w:space="0"/>
              <w:right w:val="single" w:color="auto" w:sz="4" w:space="0"/>
            </w:tcBorders>
            <w:noWrap/>
            <w:vAlign w:val="center"/>
          </w:tcPr>
          <w:p w14:paraId="3E86D949">
            <w:pPr>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129" w:type="pct"/>
            <w:tcBorders>
              <w:top w:val="single" w:color="auto" w:sz="4" w:space="0"/>
              <w:left w:val="single" w:color="auto" w:sz="4" w:space="0"/>
              <w:bottom w:val="single" w:color="auto" w:sz="4" w:space="0"/>
              <w:right w:val="single" w:color="auto" w:sz="4" w:space="0"/>
            </w:tcBorders>
            <w:noWrap/>
            <w:vAlign w:val="center"/>
          </w:tcPr>
          <w:p w14:paraId="2D443162">
            <w:pPr>
              <w:rPr>
                <w:rFonts w:ascii="宋体" w:hAnsi="宋体" w:cs="宋体"/>
                <w:b/>
                <w:color w:val="auto"/>
                <w:szCs w:val="21"/>
                <w:highlight w:val="none"/>
              </w:rPr>
            </w:pPr>
            <w:r>
              <w:rPr>
                <w:rFonts w:hint="eastAsia" w:ascii="宋体" w:hAnsi="宋体" w:cs="宋体"/>
                <w:b/>
                <w:color w:val="auto"/>
                <w:szCs w:val="21"/>
                <w:highlight w:val="none"/>
              </w:rPr>
              <w:t>评审标准</w:t>
            </w:r>
          </w:p>
        </w:tc>
        <w:tc>
          <w:tcPr>
            <w:tcW w:w="909" w:type="pct"/>
            <w:tcBorders>
              <w:top w:val="single" w:color="auto" w:sz="4" w:space="0"/>
              <w:left w:val="single" w:color="auto" w:sz="4" w:space="0"/>
              <w:bottom w:val="single" w:color="auto" w:sz="4" w:space="0"/>
              <w:right w:val="single" w:color="auto" w:sz="4" w:space="0"/>
            </w:tcBorders>
            <w:noWrap/>
            <w:vAlign w:val="center"/>
          </w:tcPr>
          <w:p w14:paraId="1F9E4FCE">
            <w:pPr>
              <w:jc w:val="center"/>
              <w:rPr>
                <w:rFonts w:ascii="宋体" w:hAnsi="宋体" w:cs="宋体"/>
                <w:b/>
                <w:color w:val="auto"/>
                <w:szCs w:val="21"/>
                <w:highlight w:val="none"/>
              </w:rPr>
            </w:pPr>
            <w:r>
              <w:rPr>
                <w:rFonts w:hint="eastAsia" w:ascii="宋体" w:hAnsi="宋体" w:cs="宋体"/>
                <w:b/>
                <w:color w:val="auto"/>
                <w:szCs w:val="21"/>
                <w:highlight w:val="none"/>
              </w:rPr>
              <w:t>单项</w:t>
            </w:r>
          </w:p>
          <w:p w14:paraId="24F09FA7">
            <w:pPr>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14:paraId="1D2F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tcBorders>
              <w:left w:val="single" w:color="auto" w:sz="4" w:space="0"/>
              <w:right w:val="single" w:color="auto" w:sz="4" w:space="0"/>
            </w:tcBorders>
            <w:noWrap/>
            <w:vAlign w:val="center"/>
          </w:tcPr>
          <w:p w14:paraId="28B2AF52">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1</w:t>
            </w:r>
          </w:p>
        </w:tc>
        <w:tc>
          <w:tcPr>
            <w:tcW w:w="729" w:type="pct"/>
            <w:tcBorders>
              <w:left w:val="single" w:color="auto" w:sz="4" w:space="0"/>
              <w:right w:val="single" w:color="auto" w:sz="4" w:space="0"/>
            </w:tcBorders>
            <w:noWrap/>
            <w:vAlign w:val="center"/>
          </w:tcPr>
          <w:p w14:paraId="59E9B18F">
            <w:pPr>
              <w:pStyle w:val="8"/>
              <w:jc w:val="center"/>
              <w:rPr>
                <w:rFonts w:hint="default" w:ascii="宋体" w:hAnsi="宋体" w:cs="宋体"/>
                <w:b/>
                <w:color w:val="auto"/>
                <w:szCs w:val="21"/>
                <w:highlight w:val="none"/>
              </w:rPr>
            </w:pPr>
            <w:r>
              <w:rPr>
                <w:rFonts w:ascii="宋体" w:hAnsi="宋体"/>
                <w:color w:val="auto"/>
                <w:sz w:val="21"/>
                <w:szCs w:val="21"/>
                <w:highlight w:val="none"/>
              </w:rPr>
              <w:t>类似业绩</w:t>
            </w:r>
          </w:p>
        </w:tc>
        <w:tc>
          <w:tcPr>
            <w:tcW w:w="3129" w:type="pct"/>
            <w:tcBorders>
              <w:top w:val="single" w:color="auto" w:sz="4" w:space="0"/>
              <w:left w:val="single" w:color="auto" w:sz="4" w:space="0"/>
              <w:bottom w:val="single" w:color="auto" w:sz="4" w:space="0"/>
              <w:right w:val="single" w:color="auto" w:sz="4" w:space="0"/>
            </w:tcBorders>
            <w:noWrap/>
          </w:tcPr>
          <w:p w14:paraId="45B21E63">
            <w:pPr>
              <w:pStyle w:val="8"/>
              <w:rPr>
                <w:rFonts w:hint="default" w:ascii="宋体" w:hAnsi="宋体"/>
                <w:color w:val="auto"/>
                <w:sz w:val="21"/>
                <w:szCs w:val="21"/>
                <w:highlight w:val="none"/>
              </w:rPr>
            </w:pPr>
            <w:r>
              <w:rPr>
                <w:rFonts w:ascii="宋体" w:hAnsi="宋体"/>
                <w:color w:val="auto"/>
                <w:sz w:val="21"/>
                <w:szCs w:val="21"/>
                <w:highlight w:val="none"/>
              </w:rPr>
              <w:t xml:space="preserve">供应商自2022年1月1日至今，供应商承接过类似项目业绩，每提供一个得3分，最高得9分。 </w:t>
            </w:r>
          </w:p>
          <w:p w14:paraId="6E84A07D">
            <w:pPr>
              <w:pStyle w:val="8"/>
              <w:rPr>
                <w:rFonts w:hint="default" w:ascii="宋体" w:hAnsi="宋体" w:cs="宋体"/>
                <w:color w:val="auto"/>
                <w:szCs w:val="21"/>
                <w:highlight w:val="none"/>
              </w:rPr>
            </w:pPr>
            <w:r>
              <w:rPr>
                <w:rFonts w:ascii="宋体" w:hAnsi="宋体"/>
                <w:color w:val="auto"/>
                <w:sz w:val="21"/>
                <w:szCs w:val="21"/>
                <w:highlight w:val="none"/>
              </w:rPr>
              <w:t>注：需提供有效的施工合同关键页（包含但不限于合同首页、合同内容页、合同签字页），证明材料资料不全无法确定为同类项目业绩，不予认可。同一项目不同年度，或同一项目续签不累计计分。</w:t>
            </w:r>
          </w:p>
        </w:tc>
        <w:tc>
          <w:tcPr>
            <w:tcW w:w="909" w:type="pct"/>
            <w:tcBorders>
              <w:top w:val="single" w:color="auto" w:sz="4" w:space="0"/>
              <w:left w:val="single" w:color="auto" w:sz="4" w:space="0"/>
              <w:bottom w:val="single" w:color="auto" w:sz="4" w:space="0"/>
              <w:right w:val="single" w:color="auto" w:sz="4" w:space="0"/>
            </w:tcBorders>
            <w:noWrap/>
            <w:vAlign w:val="center"/>
          </w:tcPr>
          <w:p w14:paraId="522C33A5">
            <w:pPr>
              <w:shd w:val="clear" w:color="auto" w:fill="FFFFFF"/>
              <w:tabs>
                <w:tab w:val="left" w:pos="585"/>
              </w:tabs>
              <w:jc w:val="center"/>
              <w:rPr>
                <w:rFonts w:ascii="宋体" w:hAnsi="宋体" w:cs="宋体"/>
                <w:color w:val="auto"/>
                <w:szCs w:val="21"/>
                <w:highlight w:val="none"/>
              </w:rPr>
            </w:pPr>
            <w:r>
              <w:rPr>
                <w:rFonts w:hint="eastAsia" w:ascii="宋体" w:hAnsi="宋体" w:cs="宋体"/>
                <w:color w:val="auto"/>
                <w:szCs w:val="21"/>
                <w:highlight w:val="none"/>
              </w:rPr>
              <w:t>9分</w:t>
            </w:r>
          </w:p>
        </w:tc>
      </w:tr>
      <w:tr w14:paraId="245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31" w:type="pct"/>
            <w:tcBorders>
              <w:left w:val="single" w:color="auto" w:sz="4" w:space="0"/>
              <w:bottom w:val="single" w:color="auto" w:sz="4" w:space="0"/>
              <w:right w:val="single" w:color="auto" w:sz="4" w:space="0"/>
            </w:tcBorders>
            <w:shd w:val="clear" w:color="auto" w:fill="auto"/>
            <w:noWrap/>
            <w:vAlign w:val="center"/>
          </w:tcPr>
          <w:p w14:paraId="6E4248B2">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2</w:t>
            </w:r>
          </w:p>
        </w:tc>
        <w:tc>
          <w:tcPr>
            <w:tcW w:w="729" w:type="pct"/>
            <w:tcBorders>
              <w:left w:val="single" w:color="auto" w:sz="4" w:space="0"/>
              <w:bottom w:val="single" w:color="auto" w:sz="4" w:space="0"/>
              <w:right w:val="single" w:color="auto" w:sz="4" w:space="0"/>
            </w:tcBorders>
            <w:shd w:val="clear" w:color="auto" w:fill="auto"/>
            <w:noWrap/>
            <w:vAlign w:val="center"/>
          </w:tcPr>
          <w:p w14:paraId="6E027E88">
            <w:pPr>
              <w:pStyle w:val="8"/>
              <w:jc w:val="center"/>
              <w:rPr>
                <w:rFonts w:hint="default" w:ascii="宋体" w:hAnsi="宋体"/>
                <w:color w:val="auto"/>
                <w:sz w:val="21"/>
                <w:szCs w:val="21"/>
                <w:highlight w:val="none"/>
              </w:rPr>
            </w:pPr>
            <w:r>
              <w:rPr>
                <w:rFonts w:ascii="宋体" w:hAnsi="宋体"/>
                <w:color w:val="auto"/>
                <w:sz w:val="21"/>
                <w:szCs w:val="21"/>
                <w:highlight w:val="none"/>
              </w:rPr>
              <w:t>履约情况</w:t>
            </w:r>
          </w:p>
        </w:tc>
        <w:tc>
          <w:tcPr>
            <w:tcW w:w="3129" w:type="pct"/>
            <w:tcBorders>
              <w:top w:val="single" w:color="auto" w:sz="4" w:space="0"/>
              <w:left w:val="single" w:color="auto" w:sz="4" w:space="0"/>
              <w:bottom w:val="single" w:color="auto" w:sz="4" w:space="0"/>
              <w:right w:val="single" w:color="auto" w:sz="4" w:space="0"/>
            </w:tcBorders>
            <w:shd w:val="clear" w:color="auto" w:fill="auto"/>
            <w:noWrap/>
          </w:tcPr>
          <w:p w14:paraId="3CF46B04">
            <w:pPr>
              <w:pStyle w:val="8"/>
              <w:rPr>
                <w:rFonts w:ascii="宋体" w:hAnsi="宋体"/>
                <w:color w:val="auto"/>
                <w:sz w:val="21"/>
                <w:szCs w:val="21"/>
                <w:highlight w:val="none"/>
              </w:rPr>
            </w:pPr>
            <w:r>
              <w:rPr>
                <w:rFonts w:ascii="宋体" w:hAnsi="宋体"/>
                <w:color w:val="auto"/>
                <w:sz w:val="21"/>
                <w:szCs w:val="21"/>
                <w:highlight w:val="none"/>
              </w:rPr>
              <w:t>以上“类似业绩”有效业绩中获得客户满意度正面评价（优秀、优良、良好、满意或相当于正面评价），每提供一份得</w:t>
            </w:r>
            <w:r>
              <w:rPr>
                <w:rFonts w:hint="eastAsia" w:ascii="宋体" w:hAnsi="宋体"/>
                <w:color w:val="auto"/>
                <w:sz w:val="21"/>
                <w:szCs w:val="21"/>
                <w:highlight w:val="none"/>
                <w:lang w:val="en-US" w:eastAsia="zh-CN"/>
              </w:rPr>
              <w:t>3</w:t>
            </w:r>
            <w:r>
              <w:rPr>
                <w:rFonts w:ascii="宋体" w:hAnsi="宋体"/>
                <w:color w:val="auto"/>
                <w:sz w:val="21"/>
                <w:szCs w:val="21"/>
                <w:highlight w:val="none"/>
              </w:rPr>
              <w:t>分，最高得</w:t>
            </w:r>
            <w:r>
              <w:rPr>
                <w:rFonts w:hint="eastAsia" w:ascii="宋体" w:hAnsi="宋体"/>
                <w:color w:val="auto"/>
                <w:sz w:val="21"/>
                <w:szCs w:val="21"/>
                <w:highlight w:val="none"/>
                <w:lang w:val="en-US" w:eastAsia="zh-CN"/>
              </w:rPr>
              <w:t>9</w:t>
            </w:r>
            <w:r>
              <w:rPr>
                <w:rFonts w:ascii="宋体" w:hAnsi="宋体"/>
                <w:color w:val="auto"/>
                <w:sz w:val="21"/>
                <w:szCs w:val="21"/>
                <w:highlight w:val="none"/>
              </w:rPr>
              <w:t xml:space="preserve">分；不提供不得分。 </w:t>
            </w:r>
          </w:p>
          <w:p w14:paraId="15D56DCC">
            <w:pPr>
              <w:pStyle w:val="8"/>
              <w:rPr>
                <w:rFonts w:hint="default" w:ascii="宋体" w:hAnsi="宋体"/>
                <w:color w:val="auto"/>
                <w:sz w:val="21"/>
                <w:szCs w:val="21"/>
                <w:highlight w:val="none"/>
              </w:rPr>
            </w:pPr>
            <w:r>
              <w:rPr>
                <w:rFonts w:ascii="宋体" w:hAnsi="宋体"/>
                <w:color w:val="auto"/>
                <w:sz w:val="21"/>
                <w:szCs w:val="21"/>
                <w:highlight w:val="none"/>
              </w:rPr>
              <w:t>注：提供客户满意度评价表的复印件（需具有合同甲方盖章）。</w:t>
            </w:r>
          </w:p>
        </w:tc>
        <w:tc>
          <w:tcPr>
            <w:tcW w:w="9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46143">
            <w:pPr>
              <w:shd w:val="clear" w:color="auto" w:fill="FFFFFF"/>
              <w:tabs>
                <w:tab w:val="left" w:pos="585"/>
              </w:tabs>
              <w:jc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r>
      <w:tr w14:paraId="4E39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31" w:type="pct"/>
            <w:tcBorders>
              <w:left w:val="single" w:color="auto" w:sz="4" w:space="0"/>
              <w:bottom w:val="single" w:color="auto" w:sz="4" w:space="0"/>
              <w:right w:val="single" w:color="auto" w:sz="4" w:space="0"/>
            </w:tcBorders>
            <w:shd w:val="clear" w:color="auto" w:fill="auto"/>
            <w:noWrap/>
            <w:vAlign w:val="center"/>
          </w:tcPr>
          <w:p w14:paraId="5CEA39E8">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29" w:type="pct"/>
            <w:tcBorders>
              <w:left w:val="single" w:color="auto" w:sz="4" w:space="0"/>
              <w:bottom w:val="single" w:color="auto" w:sz="4" w:space="0"/>
              <w:right w:val="single" w:color="auto" w:sz="4" w:space="0"/>
            </w:tcBorders>
            <w:shd w:val="clear" w:color="auto" w:fill="auto"/>
            <w:noWrap/>
            <w:vAlign w:val="center"/>
          </w:tcPr>
          <w:p w14:paraId="3C212740">
            <w:pPr>
              <w:pStyle w:val="8"/>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项目配备人员</w:t>
            </w:r>
          </w:p>
        </w:tc>
        <w:tc>
          <w:tcPr>
            <w:tcW w:w="3129" w:type="pct"/>
            <w:tcBorders>
              <w:top w:val="single" w:color="auto" w:sz="4" w:space="0"/>
              <w:left w:val="single" w:color="auto" w:sz="4" w:space="0"/>
              <w:bottom w:val="single" w:color="auto" w:sz="4" w:space="0"/>
              <w:right w:val="single" w:color="auto" w:sz="4" w:space="0"/>
            </w:tcBorders>
            <w:shd w:val="clear" w:color="auto" w:fill="auto"/>
            <w:noWrap/>
          </w:tcPr>
          <w:p w14:paraId="25478A3B">
            <w:pPr>
              <w:pStyle w:val="8"/>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供应商拟派的项目管理人员中，具有中级或以上职称的工程师的，每一个得2分，最高得6分。</w:t>
            </w:r>
          </w:p>
          <w:p w14:paraId="27A8981A">
            <w:pPr>
              <w:pStyle w:val="8"/>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注：提供相关人员职称证书复印件及近三个月缴纳社保证明，不提供不得分。</w:t>
            </w:r>
          </w:p>
        </w:tc>
        <w:tc>
          <w:tcPr>
            <w:tcW w:w="9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1DA35">
            <w:pPr>
              <w:shd w:val="clear" w:color="auto" w:fill="FFFFFF"/>
              <w:tabs>
                <w:tab w:val="left" w:pos="585"/>
              </w:tabs>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6分</w:t>
            </w:r>
          </w:p>
        </w:tc>
      </w:tr>
      <w:tr w14:paraId="1E58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tcBorders>
              <w:left w:val="single" w:color="auto" w:sz="4" w:space="0"/>
              <w:bottom w:val="single" w:color="auto" w:sz="4" w:space="0"/>
              <w:right w:val="single" w:color="auto" w:sz="4" w:space="0"/>
            </w:tcBorders>
            <w:noWrap/>
            <w:vAlign w:val="center"/>
          </w:tcPr>
          <w:p w14:paraId="60D7E6DB">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29" w:type="pct"/>
            <w:tcBorders>
              <w:left w:val="single" w:color="auto" w:sz="4" w:space="0"/>
              <w:bottom w:val="single" w:color="auto" w:sz="4" w:space="0"/>
              <w:right w:val="single" w:color="auto" w:sz="4" w:space="0"/>
            </w:tcBorders>
            <w:noWrap/>
            <w:vAlign w:val="center"/>
          </w:tcPr>
          <w:p w14:paraId="01A8E54B">
            <w:pPr>
              <w:pStyle w:val="8"/>
              <w:jc w:val="center"/>
              <w:rPr>
                <w:rFonts w:hint="default" w:ascii="宋体" w:hAnsi="宋体" w:cs="宋体"/>
                <w:b/>
                <w:color w:val="auto"/>
                <w:szCs w:val="21"/>
                <w:highlight w:val="none"/>
              </w:rPr>
            </w:pPr>
            <w:r>
              <w:rPr>
                <w:rFonts w:ascii="宋体" w:hAnsi="宋体"/>
                <w:color w:val="auto"/>
                <w:sz w:val="21"/>
                <w:szCs w:val="21"/>
                <w:highlight w:val="none"/>
              </w:rPr>
              <w:t>体系认证</w:t>
            </w:r>
          </w:p>
        </w:tc>
        <w:tc>
          <w:tcPr>
            <w:tcW w:w="3129" w:type="pct"/>
            <w:tcBorders>
              <w:top w:val="single" w:color="auto" w:sz="4" w:space="0"/>
              <w:left w:val="single" w:color="auto" w:sz="4" w:space="0"/>
              <w:bottom w:val="single" w:color="auto" w:sz="4" w:space="0"/>
              <w:right w:val="single" w:color="auto" w:sz="4" w:space="0"/>
            </w:tcBorders>
            <w:noWrap/>
          </w:tcPr>
          <w:p w14:paraId="2D84554D">
            <w:pPr>
              <w:pStyle w:val="8"/>
              <w:rPr>
                <w:rFonts w:hint="default" w:ascii="宋体" w:hAnsi="宋体"/>
                <w:color w:val="auto"/>
                <w:sz w:val="21"/>
                <w:szCs w:val="21"/>
                <w:highlight w:val="none"/>
              </w:rPr>
            </w:pPr>
            <w:r>
              <w:rPr>
                <w:rFonts w:ascii="宋体" w:hAnsi="宋体"/>
                <w:color w:val="auto"/>
                <w:sz w:val="21"/>
                <w:szCs w:val="21"/>
                <w:highlight w:val="none"/>
              </w:rPr>
              <w:t>供应商具有质量管理体系认证证书，</w:t>
            </w:r>
            <w:r>
              <w:rPr>
                <w:rFonts w:hint="eastAsia" w:ascii="宋体" w:hAnsi="宋体"/>
                <w:color w:val="auto"/>
                <w:sz w:val="21"/>
                <w:szCs w:val="21"/>
                <w:highlight w:val="none"/>
                <w:lang w:val="en-US" w:eastAsia="zh-CN"/>
              </w:rPr>
              <w:t>每一个得2分，最高得6分。</w:t>
            </w:r>
            <w:r>
              <w:rPr>
                <w:rFonts w:ascii="宋体" w:hAnsi="宋体"/>
                <w:color w:val="auto"/>
                <w:sz w:val="21"/>
                <w:szCs w:val="21"/>
                <w:highlight w:val="none"/>
              </w:rPr>
              <w:t xml:space="preserve"> </w:t>
            </w:r>
          </w:p>
          <w:p w14:paraId="59A2A15E">
            <w:pPr>
              <w:pStyle w:val="8"/>
              <w:rPr>
                <w:rFonts w:hint="default" w:ascii="宋体" w:hAnsi="宋体" w:cs="宋体"/>
                <w:color w:val="auto"/>
                <w:szCs w:val="21"/>
                <w:highlight w:val="none"/>
              </w:rPr>
            </w:pPr>
            <w:r>
              <w:rPr>
                <w:rFonts w:ascii="宋体" w:hAnsi="宋体"/>
                <w:color w:val="auto"/>
                <w:sz w:val="21"/>
                <w:szCs w:val="21"/>
                <w:highlight w:val="none"/>
              </w:rPr>
              <w:t>注：提供认证证书复印件并须同时提供在全国认证认可信息公共服务平台对体系证书的信息查询截图并加盖供应商公章作为评审依据，已暂停、失效或撤销的不得分。其他情况或不提供不得分。</w:t>
            </w:r>
          </w:p>
        </w:tc>
        <w:tc>
          <w:tcPr>
            <w:tcW w:w="909" w:type="pct"/>
            <w:tcBorders>
              <w:top w:val="single" w:color="auto" w:sz="4" w:space="0"/>
              <w:left w:val="single" w:color="auto" w:sz="4" w:space="0"/>
              <w:bottom w:val="single" w:color="auto" w:sz="4" w:space="0"/>
              <w:right w:val="single" w:color="auto" w:sz="4" w:space="0"/>
            </w:tcBorders>
            <w:noWrap/>
            <w:vAlign w:val="center"/>
          </w:tcPr>
          <w:p w14:paraId="72D2CB00">
            <w:pPr>
              <w:shd w:val="clear" w:color="auto" w:fill="FFFFFF"/>
              <w:tabs>
                <w:tab w:val="left" w:pos="585"/>
              </w:tabs>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14:paraId="24A1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0" w:type="pct"/>
            <w:gridSpan w:val="3"/>
            <w:tcBorders>
              <w:top w:val="single" w:color="auto" w:sz="4" w:space="0"/>
              <w:left w:val="single" w:color="auto" w:sz="4" w:space="0"/>
              <w:bottom w:val="single" w:color="auto" w:sz="4" w:space="0"/>
              <w:right w:val="single" w:color="auto" w:sz="4" w:space="0"/>
            </w:tcBorders>
            <w:noWrap/>
            <w:vAlign w:val="center"/>
          </w:tcPr>
          <w:p w14:paraId="65E35987">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09" w:type="pct"/>
            <w:tcBorders>
              <w:top w:val="single" w:color="auto" w:sz="4" w:space="0"/>
              <w:left w:val="single" w:color="auto" w:sz="4" w:space="0"/>
              <w:bottom w:val="single" w:color="auto" w:sz="4" w:space="0"/>
              <w:right w:val="single" w:color="auto" w:sz="4" w:space="0"/>
            </w:tcBorders>
            <w:noWrap/>
            <w:vAlign w:val="center"/>
          </w:tcPr>
          <w:p w14:paraId="41319A8E">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r>
    </w:tbl>
    <w:p w14:paraId="6B0815CD">
      <w:pPr>
        <w:pStyle w:val="5"/>
        <w:ind w:firstLine="0"/>
        <w:rPr>
          <w:rFonts w:ascii="宋体" w:hAnsi="宋体" w:cs="宋体"/>
          <w:color w:val="auto"/>
          <w:szCs w:val="21"/>
          <w:highlight w:val="none"/>
        </w:rPr>
      </w:pPr>
    </w:p>
    <w:p w14:paraId="46BC46C2">
      <w:pPr>
        <w:pStyle w:val="5"/>
        <w:ind w:firstLine="0"/>
        <w:rPr>
          <w:rFonts w:ascii="宋体" w:hAnsi="宋体" w:cs="宋体"/>
          <w:color w:val="auto"/>
          <w:szCs w:val="21"/>
          <w:highlight w:val="none"/>
        </w:rPr>
      </w:pPr>
      <w:r>
        <w:rPr>
          <w:rFonts w:hint="eastAsia" w:ascii="宋体" w:hAnsi="宋体" w:cs="宋体"/>
          <w:color w:val="auto"/>
          <w:szCs w:val="21"/>
          <w:highlight w:val="none"/>
        </w:rPr>
        <w:t xml:space="preserve">(3)价格评价： </w:t>
      </w:r>
    </w:p>
    <w:tbl>
      <w:tblPr>
        <w:tblStyle w:val="6"/>
        <w:tblW w:w="47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5288"/>
        <w:gridCol w:w="1605"/>
      </w:tblGrid>
      <w:tr w14:paraId="429D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1" w:type="dxa"/>
            <w:vAlign w:val="center"/>
          </w:tcPr>
          <w:p w14:paraId="6E2B0263">
            <w:pPr>
              <w:jc w:val="center"/>
              <w:rPr>
                <w:rFonts w:ascii="宋体" w:hAnsi="宋体" w:cs="宋体"/>
                <w:color w:val="auto"/>
                <w:kern w:val="0"/>
                <w:szCs w:val="21"/>
                <w:highlight w:val="none"/>
              </w:rPr>
            </w:pPr>
            <w:r>
              <w:rPr>
                <w:rFonts w:hint="eastAsia" w:ascii="宋体" w:hAnsi="宋体" w:cs="宋体"/>
                <w:b/>
                <w:color w:val="auto"/>
                <w:szCs w:val="21"/>
                <w:highlight w:val="none"/>
              </w:rPr>
              <w:t>审查项目</w:t>
            </w:r>
          </w:p>
        </w:tc>
        <w:tc>
          <w:tcPr>
            <w:tcW w:w="5763" w:type="dxa"/>
            <w:vAlign w:val="center"/>
          </w:tcPr>
          <w:p w14:paraId="36E4E881">
            <w:pPr>
              <w:rPr>
                <w:rFonts w:ascii="宋体" w:hAnsi="宋体" w:cs="宋体"/>
                <w:color w:val="auto"/>
                <w:szCs w:val="21"/>
                <w:highlight w:val="none"/>
              </w:rPr>
            </w:pPr>
            <w:r>
              <w:rPr>
                <w:rFonts w:hint="eastAsia" w:ascii="宋体" w:hAnsi="宋体" w:cs="宋体"/>
                <w:b/>
                <w:color w:val="auto"/>
                <w:szCs w:val="21"/>
                <w:highlight w:val="none"/>
              </w:rPr>
              <w:t>评审标准</w:t>
            </w:r>
          </w:p>
        </w:tc>
        <w:tc>
          <w:tcPr>
            <w:tcW w:w="1749" w:type="dxa"/>
            <w:vAlign w:val="center"/>
          </w:tcPr>
          <w:p w14:paraId="5A7DFAE5">
            <w:pPr>
              <w:jc w:val="center"/>
              <w:rPr>
                <w:rFonts w:ascii="宋体" w:hAnsi="宋体" w:cs="宋体"/>
                <w:b/>
                <w:color w:val="auto"/>
                <w:szCs w:val="21"/>
                <w:highlight w:val="none"/>
              </w:rPr>
            </w:pPr>
            <w:r>
              <w:rPr>
                <w:rFonts w:hint="eastAsia" w:ascii="宋体" w:hAnsi="宋体" w:cs="宋体"/>
                <w:b/>
                <w:color w:val="auto"/>
                <w:szCs w:val="21"/>
                <w:highlight w:val="none"/>
              </w:rPr>
              <w:t>单项</w:t>
            </w:r>
          </w:p>
          <w:p w14:paraId="0B24B196">
            <w:pPr>
              <w:jc w:val="center"/>
              <w:rPr>
                <w:rFonts w:ascii="宋体" w:hAnsi="宋体" w:cs="宋体"/>
                <w:color w:val="auto"/>
                <w:szCs w:val="21"/>
                <w:highlight w:val="none"/>
              </w:rPr>
            </w:pPr>
            <w:r>
              <w:rPr>
                <w:rFonts w:hint="eastAsia" w:ascii="宋体" w:hAnsi="宋体" w:cs="宋体"/>
                <w:b/>
                <w:color w:val="auto"/>
                <w:szCs w:val="21"/>
                <w:highlight w:val="none"/>
              </w:rPr>
              <w:t>分值</w:t>
            </w:r>
          </w:p>
        </w:tc>
      </w:tr>
      <w:tr w14:paraId="50D5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24" w:type="pct"/>
            <w:vAlign w:val="center"/>
          </w:tcPr>
          <w:p w14:paraId="614E8B7B">
            <w:pPr>
              <w:pStyle w:val="5"/>
              <w:ind w:firstLine="0"/>
              <w:jc w:val="center"/>
              <w:rPr>
                <w:rFonts w:ascii="宋体" w:hAnsi="宋体" w:cs="宋体"/>
                <w:color w:val="auto"/>
                <w:kern w:val="0"/>
                <w:szCs w:val="21"/>
                <w:highlight w:val="none"/>
              </w:rPr>
            </w:pPr>
            <w:r>
              <w:rPr>
                <w:rFonts w:hint="eastAsia" w:ascii="宋体" w:hAnsi="宋体" w:cs="宋体"/>
                <w:color w:val="auto"/>
                <w:szCs w:val="21"/>
                <w:highlight w:val="none"/>
              </w:rPr>
              <w:t>价格</w:t>
            </w:r>
          </w:p>
        </w:tc>
        <w:tc>
          <w:tcPr>
            <w:tcW w:w="3279" w:type="pct"/>
            <w:vAlign w:val="center"/>
          </w:tcPr>
          <w:p w14:paraId="78E84C26">
            <w:pPr>
              <w:pStyle w:val="5"/>
              <w:ind w:firstLine="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价格分应当采用低价优先法计算，即满足资格遴选文件要求且响应价格最低的响应报价为评审基准价，其价格分为满分。其他供应商的价格分统一按照下列公式计算：</w:t>
            </w:r>
          </w:p>
          <w:p w14:paraId="51E7A08F">
            <w:pPr>
              <w:pStyle w:val="5"/>
              <w:ind w:firstLine="0"/>
              <w:rPr>
                <w:rFonts w:ascii="宋体" w:hAnsi="宋体" w:cs="宋体"/>
                <w:color w:val="auto"/>
                <w:kern w:val="0"/>
                <w:szCs w:val="21"/>
                <w:highlight w:val="none"/>
              </w:rPr>
            </w:pPr>
            <w:r>
              <w:rPr>
                <w:rFonts w:hint="eastAsia" w:ascii="宋体" w:hAnsi="宋体" w:cs="宋体"/>
                <w:color w:val="auto"/>
                <w:kern w:val="0"/>
                <w:szCs w:val="21"/>
                <w:highlight w:val="none"/>
              </w:rPr>
              <w:t>响应报价得分=(评审基准价／响应报价)×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w:t>
            </w:r>
          </w:p>
          <w:p w14:paraId="45C53A28">
            <w:pPr>
              <w:pStyle w:val="5"/>
              <w:ind w:firstLine="0"/>
              <w:rPr>
                <w:rFonts w:ascii="宋体" w:hAnsi="宋体" w:cs="宋体"/>
                <w:color w:val="auto"/>
                <w:kern w:val="0"/>
                <w:szCs w:val="21"/>
                <w:highlight w:val="none"/>
              </w:rPr>
            </w:pPr>
            <w:r>
              <w:rPr>
                <w:rFonts w:hint="eastAsia" w:ascii="宋体" w:hAnsi="宋体" w:cs="宋体"/>
                <w:color w:val="auto"/>
                <w:kern w:val="0"/>
                <w:szCs w:val="21"/>
                <w:highlight w:val="none"/>
              </w:rPr>
              <w:t>备注：投标报价得分四舍五入后，小数点后保留两位有效数。</w:t>
            </w:r>
          </w:p>
        </w:tc>
        <w:tc>
          <w:tcPr>
            <w:tcW w:w="995" w:type="pct"/>
            <w:vAlign w:val="center"/>
          </w:tcPr>
          <w:p w14:paraId="17F2F6A1">
            <w:pPr>
              <w:pStyle w:val="5"/>
              <w:ind w:firstLine="0"/>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w:t>
            </w:r>
            <w:r>
              <w:rPr>
                <w:rFonts w:hint="eastAsia" w:ascii="宋体" w:hAnsi="宋体" w:cs="宋体"/>
                <w:color w:val="auto"/>
                <w:szCs w:val="21"/>
                <w:highlight w:val="none"/>
              </w:rPr>
              <w:t>分</w:t>
            </w:r>
          </w:p>
        </w:tc>
      </w:tr>
    </w:tbl>
    <w:p w14:paraId="5990C0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16AF5"/>
    <w:multiLevelType w:val="singleLevel"/>
    <w:tmpl w:val="B5E16A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A308F"/>
    <w:rsid w:val="6DCA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200"/>
    </w:pPr>
    <w:rPr>
      <w:rFonts w:ascii="宋体" w:hAnsi="宋体"/>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5">
    <w:name w:val="Normal Indent"/>
    <w:basedOn w:val="1"/>
    <w:qFormat/>
    <w:uiPriority w:val="0"/>
    <w:pPr>
      <w:ind w:firstLine="420"/>
    </w:pPr>
    <w:rPr>
      <w:szCs w:val="20"/>
    </w:rPr>
  </w:style>
  <w:style w:type="paragraph" w:customStyle="1" w:styleId="8">
    <w:name w:val="null3"/>
    <w:qFormat/>
    <w:uiPriority w:val="0"/>
    <w:rPr>
      <w:rFonts w:hint="eastAsia" w:ascii="Calibri" w:hAnsi="Calibri" w:eastAsia="宋体" w:cs="Times New Roman"/>
      <w:lang w:val="en-US" w:eastAsia="zh-CN" w:bidi="ar-SA"/>
    </w:rPr>
  </w:style>
  <w:style w:type="paragraph" w:customStyle="1" w:styleId="9">
    <w:name w:val="Table Paragraph"/>
    <w:basedOn w:val="1"/>
    <w:qFormat/>
    <w:uiPriority w:val="0"/>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2025-08-01T08:48:00Z</dcterms:created>
  <dc:creator>张梦媛</dc:creator>
  <cp:lastModifiedBy>张梦媛</cp:lastModifiedBy>
  <dcterms:modified xsi:type="dcterms:W3CDTF">2025-08-01T08:59:06Z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678CE72C6F8E4C3A8071E006597FC085_11</vt:lpwstr>
  </property>
  <property fmtid="{D5CDD505-2E9C-101B-9397-08002B2CF9AE}" pid="4" name="KSOTemplateDocerSaveRecord">
    <vt:lpwstr>eyJoZGlkIjoiMmYyNzJhMjNmMmIyN2M4MzM5MGI4Y2E4MDk4MzBkOGYiLCJ1c2VySWQiOiIxMjU3NDM4OTQxIn0=</vt:lpwstr>
  </property>
</Properties>
</file>