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  <w:rPr>
          <w:b w:val="0"/>
          <w:bCs/>
          <w:kern w:val="0"/>
          <w:sz w:val="32"/>
          <w:szCs w:val="32"/>
        </w:rPr>
      </w:pPr>
      <w:r>
        <w:rPr>
          <w:sz w:val="32"/>
          <w:szCs w:val="32"/>
        </w:rPr>
        <w:t>采购需求</w:t>
      </w:r>
    </w:p>
    <w:p>
      <w:pPr>
        <w:spacing w:line="360" w:lineRule="auto"/>
        <w:rPr>
          <w:sz w:val="24"/>
        </w:rPr>
      </w:pPr>
    </w:p>
    <w:p>
      <w:pPr>
        <w:numPr>
          <w:ilvl w:val="0"/>
          <w:numId w:val="1"/>
        </w:num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采购需求一览表</w:t>
      </w:r>
    </w:p>
    <w:tbl>
      <w:tblPr>
        <w:tblStyle w:val="9"/>
        <w:tblW w:w="79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960"/>
        <w:gridCol w:w="1969"/>
        <w:gridCol w:w="1458"/>
        <w:gridCol w:w="17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包号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包名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品目名称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数量</w:t>
            </w:r>
          </w:p>
        </w:tc>
        <w:tc>
          <w:tcPr>
            <w:tcW w:w="171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采购</w:t>
            </w:r>
            <w:r>
              <w:rPr>
                <w:rFonts w:hint="eastAsia"/>
                <w:b/>
                <w:bCs/>
                <w:sz w:val="24"/>
              </w:rPr>
              <w:t>总</w:t>
            </w:r>
            <w:r>
              <w:rPr>
                <w:b/>
                <w:bCs/>
                <w:sz w:val="24"/>
              </w:rPr>
              <w:t>预算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国家传染病智能监测预警前置软件数据采集和数据API 接口对接采购项目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国家传染病智能监测预警前置软件数据采集和数据API 接口对接采购项目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tabs>
                <w:tab w:val="left" w:pos="445"/>
              </w:tabs>
              <w:spacing w:line="360" w:lineRule="auto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1套</w:t>
            </w:r>
          </w:p>
        </w:tc>
        <w:tc>
          <w:tcPr>
            <w:tcW w:w="1715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tabs>
                <w:tab w:val="left" w:pos="445"/>
              </w:tabs>
              <w:spacing w:line="360" w:lineRule="auto"/>
              <w:ind w:firstLine="0" w:firstLine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150,000.00</w:t>
            </w:r>
          </w:p>
        </w:tc>
      </w:tr>
    </w:tbl>
    <w:p>
      <w:pPr>
        <w:pStyle w:val="7"/>
        <w:ind w:firstLine="420"/>
        <w:rPr>
          <w:color w:val="auto"/>
        </w:rPr>
      </w:pPr>
      <w:r>
        <w:rPr>
          <w:color w:val="auto"/>
        </w:rPr>
        <w:t>1</w:t>
      </w:r>
      <w:r>
        <w:rPr>
          <w:rFonts w:hint="eastAsia"/>
          <w:color w:val="auto"/>
        </w:rPr>
        <w:t>、服务期限：</w:t>
      </w:r>
      <w:r>
        <w:rPr>
          <w:rFonts w:hint="eastAsia"/>
          <w:highlight w:val="yellow"/>
        </w:rPr>
        <w:t>自合同签订之日起4个月内完成项目整体上线</w:t>
      </w:r>
      <w:r>
        <w:rPr>
          <w:rFonts w:hint="eastAsia"/>
        </w:rPr>
        <w:t>。</w:t>
      </w:r>
    </w:p>
    <w:p>
      <w:pPr>
        <w:pStyle w:val="7"/>
        <w:ind w:firstLine="420"/>
      </w:pPr>
      <w:r>
        <w:rPr>
          <w:rFonts w:hint="eastAsia"/>
        </w:rPr>
        <w:t>2、服务地点：广东省生殖医院</w:t>
      </w:r>
    </w:p>
    <w:p>
      <w:pPr>
        <w:pStyle w:val="7"/>
        <w:ind w:firstLine="420"/>
      </w:pPr>
      <w:r>
        <w:rPr>
          <w:rFonts w:hint="eastAsia"/>
        </w:rPr>
        <w:t>3、付款方式：</w:t>
      </w:r>
    </w:p>
    <w:p>
      <w:pPr>
        <w:pStyle w:val="7"/>
        <w:ind w:firstLine="420"/>
        <w:rPr>
          <w:highlight w:val="yellow"/>
        </w:rPr>
      </w:pPr>
      <w:r>
        <w:rPr>
          <w:rFonts w:hint="eastAsia"/>
          <w:highlight w:val="yellow"/>
        </w:rPr>
        <w:t>（1）合同签署生效并采购人收到供应商开具的正式发票，30个工作日内，采购人向供应商支付合同总额的40</w:t>
      </w:r>
      <w:r>
        <w:rPr>
          <w:rFonts w:hint="eastAsia" w:ascii="宋体" w:hAnsi="宋体"/>
          <w:highlight w:val="yellow"/>
        </w:rPr>
        <w:t>%</w:t>
      </w:r>
      <w:r>
        <w:rPr>
          <w:rFonts w:hint="eastAsia"/>
          <w:highlight w:val="yellow"/>
        </w:rPr>
        <w:t>；</w:t>
      </w:r>
    </w:p>
    <w:p>
      <w:pPr>
        <w:pStyle w:val="7"/>
        <w:ind w:firstLine="420"/>
      </w:pPr>
      <w:r>
        <w:rPr>
          <w:rFonts w:hint="eastAsia"/>
          <w:highlight w:val="yellow"/>
        </w:rPr>
        <w:t>（2）项目通过验收后，采购人向供应商支付合同总额的60%；</w:t>
      </w:r>
    </w:p>
    <w:p>
      <w:pPr>
        <w:numPr>
          <w:ilvl w:val="0"/>
          <w:numId w:val="2"/>
        </w:num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服务内容</w:t>
      </w:r>
    </w:p>
    <w:p>
      <w:pPr>
        <w:pStyle w:val="11"/>
        <w:spacing w:before="120" w:beforeLines="50" w:after="120" w:afterLines="50" w:line="360" w:lineRule="auto"/>
        <w:ind w:firstLine="482"/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项目概述</w:t>
      </w:r>
    </w:p>
    <w:p>
      <w:pPr>
        <w:pStyle w:val="5"/>
        <w:ind w:firstLine="420" w:firstLineChars="200"/>
      </w:pPr>
      <w:r>
        <w:rPr>
          <w:rFonts w:hint="eastAsia" w:ascii="宋体" w:hAnsi="宋体" w:cs="宋体"/>
          <w:color w:val="000000"/>
          <w:sz w:val="21"/>
          <w:szCs w:val="21"/>
        </w:rPr>
        <w:t>根据《广东省疾病预防控制局广东省卫生健康委关于印发《加快推进国家传染病智能监测预警前置软件部署工作方案》的通知》（粤疾控局综(2024)16号）文件的部署要求，推进国家疾控局统一开发的“国家传染病智能监测预警前置软件”在全省所有医疗机构的部署应用，实现医疗机构源头数据统一自动采集，多渠道、多元监测数据的汇聚，支撑全省传染病监测预警和应急指挥平台的建设，实现传染病监测全病程信息闭环管理。</w:t>
      </w:r>
    </w:p>
    <w:p>
      <w:pPr>
        <w:pStyle w:val="11"/>
        <w:spacing w:before="120" w:beforeLines="50" w:after="120" w:afterLines="50" w:line="360" w:lineRule="auto"/>
        <w:ind w:left="142" w:firstLine="0" w:firstLineChars="0"/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</w:rPr>
        <w:t>▲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软件系统详细功能要求</w:t>
      </w:r>
    </w:p>
    <w:tbl>
      <w:tblPr>
        <w:tblStyle w:val="9"/>
        <w:tblW w:w="88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012"/>
        <w:gridCol w:w="5368"/>
        <w:gridCol w:w="7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工作项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工作内容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需求分析与系统设计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对接方案设计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数据采集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患者基本信息表 emr_patient_info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数据采集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诊疗活动信息表 emr_activity_info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数据采集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传染病报告卡 emr_inf_report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数据采集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门（急）诊病历 emr_outpatient_record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数据采集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门(急)诊留观记录 emr_outpatient_obs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数据采集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入院记录 emr_admission_info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数据采集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住院首次病程记录 emr_first_course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数据采集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住院日常病程记录 emr_daily_course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数据采集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住院病案首页 emr_admission_record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数据采集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出院记录 emr_discharge_info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数据采集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检查报告 emr_ex_clinical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数据采集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检查报告项目 emr_ex_clinical_item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数据采集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检验报告 emr_ex_lab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数据采集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检验报告项目 emr_ex_lab_item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数据采集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医嘱处方信息 emr_order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数据采集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医嘱处方条目 emr_order_item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数据采集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t>死亡信息 emr_death_info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数据采集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t>医院信息系统用户信息base_user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数据采集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t>医院信息系统科室信息base_dept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数据核对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t>对接系统，值域对照，数据核对等工作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业务系统埋点改造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t>实时采集数据，相关业务系统埋点推送改造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数据操作API接口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患者基本信息表：对接患者基本信息表数据操作 API接口emr_patient_info（新增、修改、删除）操作API接口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数据操作API接口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诊疗活动信息表：对接emr_activity_info 数据记录的新增、修改、删除操作API接口。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 数据操作API接口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传染病报告卡数据：对接emr_inf_report数据记录的新增、修改、删除操作API接口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 数据操作API接口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门（急）诊病历：对接emr_outpatient_record 数据记录的新增、修改、删除操作API接口。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 数据操作API接口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门(急)诊留观记录：对接emr_outpatient_obs数据记录的新增、修改、删除操作API接口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 数据操作API接口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入院记录：对接emr_admission_info 数据记录的新增、修改、删除操作API接口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 数据操作API接口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住院首次病程记录：对接emr_first_course数据记录的新增、修改、删除操作API接口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 数据操作API接口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住院日常病程记录：对接emr_daily_course 数据记录的新增、修改、删除操作API接口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 数据操作API接口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住院病案首页：对接emr_admission_record 数据记录的新增、修改、删除操作API接口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 数据操作API接口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出院记录：对接emr_discharge_info数据记录的新增、修改、删除操作API接口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 数据操作API接口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检查报告：对接emr_ex_clinical数据记录的新增、修改、删除操作API接口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 数据操作API接口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检查报告项目：对接emr_ex_clinical_item数据记录的新增、修改、删除操作API接口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 数据操作API接口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检验报告：对接emr_ex_lab数据记录的新增、修改、删除操作API接口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 数据操作API接口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检验报告项目：对接emr_ex_lab_item 数据记录的新增、修改、删除操作API接口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 数据操作API接口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医嘱处方信息：对接emr_order数据记录的新增、修改、删除操作API接口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 数据操作API接口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医嘱处方条目：对接emr_order_item 数据记录的新增、修改、删除操作API接口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 数据操作API接口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死亡信息：对接emr_death_info数据记录的新增、修改、删除操作API接口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 数据操作API接口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医院信息系统用户信息表：对接base_user数据记录的新增、修改、删除操作API接口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widowControl/>
              <w:numPr>
                <w:ilvl w:val="0"/>
                <w:numId w:val="3"/>
              </w:numPr>
              <w:ind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 数据操作API接口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 医院信息系统科室信息：对接base_dept数据记录的新增、修改操作API接口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汉仪旗黑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报隶-简">
    <w:altName w:val="隶书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595ED0"/>
    <w:multiLevelType w:val="singleLevel"/>
    <w:tmpl w:val="F5595ED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797EE7E"/>
    <w:multiLevelType w:val="singleLevel"/>
    <w:tmpl w:val="4797EE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14330AF"/>
    <w:multiLevelType w:val="multilevel"/>
    <w:tmpl w:val="514330AF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0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spacing w:before="340" w:after="330" w:line="578" w:lineRule="atLeast"/>
      <w:outlineLvl w:val="0"/>
    </w:pPr>
    <w:rPr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b/>
      <w:kern w:val="0"/>
      <w:sz w:val="32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ind w:firstLine="420"/>
    </w:pPr>
    <w:rPr>
      <w:szCs w:val="20"/>
    </w:rPr>
  </w:style>
  <w:style w:type="paragraph" w:styleId="5">
    <w:name w:val="Body Text"/>
    <w:basedOn w:val="1"/>
    <w:next w:val="1"/>
    <w:uiPriority w:val="0"/>
    <w:pPr>
      <w:spacing w:line="360" w:lineRule="auto"/>
    </w:pPr>
    <w:rPr>
      <w:sz w:val="24"/>
      <w:szCs w:val="20"/>
    </w:rPr>
  </w:style>
  <w:style w:type="paragraph" w:styleId="6">
    <w:name w:val="Body Text Indent"/>
    <w:basedOn w:val="1"/>
    <w:next w:val="5"/>
    <w:uiPriority w:val="0"/>
    <w:pPr>
      <w:adjustRightInd w:val="0"/>
      <w:snapToGrid w:val="0"/>
      <w:spacing w:line="400" w:lineRule="atLeast"/>
      <w:ind w:firstLine="480" w:firstLineChars="200"/>
    </w:pPr>
    <w:rPr>
      <w:rFonts w:ascii="仿宋_GB2312" w:hAnsi="宋体" w:eastAsia="仿宋_GB2312"/>
      <w:sz w:val="24"/>
    </w:rPr>
  </w:style>
  <w:style w:type="paragraph" w:styleId="7">
    <w:name w:val="Body Text First Indent 2"/>
    <w:basedOn w:val="6"/>
    <w:next w:val="4"/>
    <w:uiPriority w:val="0"/>
    <w:pPr>
      <w:adjustRightInd/>
      <w:snapToGrid/>
      <w:spacing w:before="240" w:beforeLines="100" w:after="120" w:line="360" w:lineRule="auto"/>
    </w:pPr>
    <w:rPr>
      <w:rFonts w:ascii="Times New Roman" w:hAnsi="Times New Roman" w:eastAsia="宋体"/>
      <w:color w:val="000000"/>
      <w:kern w:val="0"/>
      <w:sz w:val="21"/>
    </w:rPr>
  </w:style>
  <w:style w:type="paragraph" w:customStyle="1" w:styleId="10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1">
    <w:name w:val="列表段落1"/>
    <w:basedOn w:val="1"/>
    <w:qFormat/>
    <w:uiPriority w:val="1"/>
    <w:pPr>
      <w:ind w:firstLine="420" w:firstLineChars="200"/>
    </w:pPr>
    <w:rPr>
      <w:rFonts w:ascii="微软雅黑" w:hAnsi="微软雅黑" w:eastAsia="微软雅黑" w:cs="微软雅黑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2025-07-08T07:10:47Z</dcterms:created>
  <dc:creator>Administrator</dc:creator>
  <cp:lastModifiedBy>余俊豪</cp:lastModifiedBy>
  <dcterms:modified xsi:type="dcterms:W3CDTF">2025-07-08T07:11:14Z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