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4CB9F1">
      <w:pPr>
        <w:pStyle w:val="16"/>
        <w:spacing w:before="0" w:after="0" w:line="360" w:lineRule="auto"/>
        <w:jc w:val="both"/>
        <w:rPr>
          <w:rFonts w:hint="default" w:asciiTheme="minorEastAsia" w:hAnsiTheme="minorEastAsia" w:eastAsiaTheme="minorEastAsia"/>
          <w:b w:val="0"/>
          <w:bCs w:val="0"/>
          <w:color w:val="000000" w:themeColor="text1"/>
          <w:kern w:val="0"/>
          <w:lang w:val="en-US" w:eastAsia="zh-CN"/>
        </w:rPr>
      </w:pPr>
      <w:r>
        <w:rPr>
          <w:rFonts w:hint="eastAsia" w:asciiTheme="minorEastAsia" w:hAnsiTheme="minorEastAsia" w:eastAsiaTheme="minorEastAsia"/>
          <w:b w:val="0"/>
          <w:bCs w:val="0"/>
          <w:color w:val="000000" w:themeColor="text1"/>
          <w:kern w:val="0"/>
          <w:lang w:val="en-US" w:eastAsia="zh-CN"/>
        </w:rPr>
        <w:t>附件</w:t>
      </w:r>
      <w:bookmarkStart w:id="1" w:name="_GoBack"/>
      <w:bookmarkEnd w:id="1"/>
    </w:p>
    <w:p w14:paraId="673DC1DB">
      <w:pPr>
        <w:pStyle w:val="16"/>
        <w:spacing w:before="0" w:after="0" w:line="360" w:lineRule="auto"/>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kern w:val="0"/>
          <w:lang w:val="zh-CN"/>
        </w:rPr>
        <w:t>用户需求书</w:t>
      </w:r>
    </w:p>
    <w:p w14:paraId="677E6E9F">
      <w:pPr>
        <w:pStyle w:val="41"/>
        <w:pageBreakBefore w:val="0"/>
        <w:numPr>
          <w:ilvl w:val="0"/>
          <w:numId w:val="2"/>
        </w:numPr>
        <w:spacing w:before="0" w:line="360" w:lineRule="auto"/>
        <w:ind w:left="0" w:firstLine="0"/>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有关说明</w:t>
      </w:r>
    </w:p>
    <w:p w14:paraId="2CBFA60C">
      <w:pPr>
        <w:pStyle w:val="24"/>
        <w:numPr>
          <w:ilvl w:val="0"/>
          <w:numId w:val="3"/>
        </w:numPr>
        <w:spacing w:line="360" w:lineRule="auto"/>
        <w:ind w:firstLineChars="0"/>
        <w:rPr>
          <w:rFonts w:ascii="Times New Roman" w:hAnsi="Times New Roman" w:eastAsia="宋体" w:cs="Times New Roman"/>
          <w:kern w:val="0"/>
          <w:sz w:val="24"/>
          <w:szCs w:val="24"/>
        </w:rPr>
      </w:pPr>
      <w:r>
        <w:rPr>
          <w:rFonts w:hint="eastAsia" w:ascii="宋体" w:hAnsi="宋体"/>
          <w:bCs/>
        </w:rPr>
        <w:t>参选人须对本项目的遴选标的进行整体响应，任何只对本项目遴选标的其中一部分内容、数量进行的响应都被视为无效参选。</w:t>
      </w:r>
    </w:p>
    <w:p w14:paraId="4F60E94B">
      <w:pPr>
        <w:pStyle w:val="41"/>
        <w:pageBreakBefore w:val="0"/>
        <w:numPr>
          <w:ilvl w:val="0"/>
          <w:numId w:val="2"/>
        </w:numPr>
        <w:spacing w:before="0" w:line="360" w:lineRule="auto"/>
        <w:ind w:left="0" w:firstLine="0"/>
        <w:rPr>
          <w:rFonts w:asciiTheme="minorEastAsia" w:hAnsiTheme="minorEastAsia" w:eastAsiaTheme="minorEastAsia"/>
          <w:szCs w:val="21"/>
        </w:rPr>
      </w:pPr>
      <w:r>
        <w:rPr>
          <w:rFonts w:hint="eastAsia" w:asciiTheme="minorEastAsia" w:hAnsiTheme="minorEastAsia" w:eastAsiaTheme="minorEastAsia"/>
          <w:szCs w:val="21"/>
        </w:rPr>
        <w:t>项目一览表</w:t>
      </w:r>
    </w:p>
    <w:tbl>
      <w:tblPr>
        <w:tblStyle w:val="18"/>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3911"/>
        <w:gridCol w:w="2865"/>
        <w:gridCol w:w="2990"/>
      </w:tblGrid>
      <w:tr w14:paraId="6EA3386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930" w:type="dxa"/>
            <w:tcBorders>
              <w:top w:val="single" w:color="auto" w:sz="8" w:space="0"/>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14:paraId="435DFEEA">
            <w:pPr>
              <w:widowControl/>
              <w:jc w:val="center"/>
              <w:rPr>
                <w:rFonts w:ascii="宋体" w:hAnsi="宋体" w:eastAsia="宋体" w:cs="宋体"/>
                <w:kern w:val="0"/>
                <w:sz w:val="24"/>
                <w:szCs w:val="24"/>
              </w:rPr>
            </w:pPr>
            <w:r>
              <w:rPr>
                <w:rFonts w:hint="eastAsia" w:ascii="宋体" w:hAnsi="宋体" w:eastAsia="宋体" w:cs="宋体"/>
                <w:b/>
                <w:bCs/>
                <w:kern w:val="0"/>
                <w:szCs w:val="21"/>
              </w:rPr>
              <w:t>服务内容</w:t>
            </w:r>
          </w:p>
        </w:tc>
        <w:tc>
          <w:tcPr>
            <w:tcW w:w="5025" w:type="dxa"/>
            <w:tcBorders>
              <w:top w:val="single" w:color="auto" w:sz="8" w:space="0"/>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14:paraId="07A8D9E9">
            <w:pPr>
              <w:widowControl/>
              <w:jc w:val="center"/>
              <w:rPr>
                <w:rFonts w:ascii="宋体" w:hAnsi="宋体" w:eastAsia="宋体" w:cs="宋体"/>
                <w:kern w:val="0"/>
                <w:sz w:val="24"/>
                <w:szCs w:val="24"/>
              </w:rPr>
            </w:pPr>
            <w:r>
              <w:rPr>
                <w:rFonts w:hint="eastAsia" w:ascii="宋体" w:hAnsi="宋体" w:eastAsia="宋体" w:cs="宋体"/>
                <w:b/>
                <w:bCs/>
                <w:kern w:val="0"/>
                <w:szCs w:val="21"/>
              </w:rPr>
              <w:t>工期</w:t>
            </w:r>
          </w:p>
        </w:tc>
        <w:tc>
          <w:tcPr>
            <w:tcW w:w="5085" w:type="dxa"/>
            <w:tcBorders>
              <w:top w:val="single" w:color="auto" w:sz="8" w:space="0"/>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14:paraId="4929A6CC">
            <w:pPr>
              <w:widowControl/>
              <w:jc w:val="center"/>
              <w:rPr>
                <w:rFonts w:ascii="宋体" w:hAnsi="宋体" w:eastAsia="宋体" w:cs="宋体"/>
                <w:kern w:val="0"/>
                <w:sz w:val="24"/>
                <w:szCs w:val="24"/>
              </w:rPr>
            </w:pPr>
            <w:r>
              <w:rPr>
                <w:rFonts w:hint="eastAsia" w:ascii="宋体" w:hAnsi="宋体" w:eastAsia="宋体" w:cs="宋体"/>
                <w:b/>
                <w:bCs/>
                <w:kern w:val="0"/>
                <w:szCs w:val="21"/>
              </w:rPr>
              <w:t>采购预算</w:t>
            </w:r>
          </w:p>
        </w:tc>
      </w:tr>
      <w:tr w14:paraId="5BE8D9A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930" w:type="dxa"/>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tcPr>
          <w:p w14:paraId="299F8C24">
            <w:pPr>
              <w:widowControl/>
              <w:jc w:val="center"/>
              <w:rPr>
                <w:rFonts w:ascii="宋体" w:hAnsi="宋体" w:eastAsia="宋体" w:cs="宋体"/>
                <w:color w:val="auto"/>
                <w:kern w:val="0"/>
                <w:sz w:val="24"/>
                <w:szCs w:val="24"/>
              </w:rPr>
            </w:pPr>
            <w:r>
              <w:rPr>
                <w:rFonts w:hint="eastAsia" w:ascii="宋体" w:hAnsi="宋体" w:eastAsia="宋体" w:cs="宋体"/>
                <w:color w:val="auto"/>
                <w:kern w:val="0"/>
                <w:szCs w:val="21"/>
              </w:rPr>
              <w:t>广东省生殖医院产</w:t>
            </w:r>
            <w:r>
              <w:rPr>
                <w:rFonts w:hint="eastAsia" w:ascii="宋体" w:hAnsi="宋体" w:eastAsia="宋体" w:cs="宋体"/>
                <w:color w:val="auto"/>
                <w:kern w:val="0"/>
                <w:szCs w:val="21"/>
                <w:lang w:val="en-US" w:eastAsia="zh-CN"/>
              </w:rPr>
              <w:t>科</w:t>
            </w:r>
            <w:r>
              <w:rPr>
                <w:rFonts w:hint="eastAsia" w:ascii="宋体" w:hAnsi="宋体" w:eastAsia="宋体" w:cs="宋体"/>
                <w:color w:val="auto"/>
                <w:kern w:val="0"/>
                <w:szCs w:val="21"/>
              </w:rPr>
              <w:t>家具采购项目</w:t>
            </w:r>
          </w:p>
        </w:tc>
        <w:tc>
          <w:tcPr>
            <w:tcW w:w="5025" w:type="dxa"/>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tcPr>
          <w:p w14:paraId="524E77D1">
            <w:pPr>
              <w:widowControl/>
              <w:jc w:val="center"/>
              <w:rPr>
                <w:rFonts w:ascii="宋体" w:hAnsi="宋体" w:eastAsia="宋体" w:cs="宋体"/>
                <w:color w:val="auto"/>
                <w:kern w:val="0"/>
                <w:sz w:val="24"/>
                <w:szCs w:val="24"/>
              </w:rPr>
            </w:pPr>
            <w:r>
              <w:rPr>
                <w:rFonts w:hint="eastAsia" w:ascii="宋体" w:hAnsi="宋体" w:eastAsia="宋体" w:cs="宋体"/>
                <w:color w:val="auto"/>
                <w:kern w:val="0"/>
                <w:szCs w:val="21"/>
              </w:rPr>
              <w:t>30日历天内</w:t>
            </w:r>
          </w:p>
        </w:tc>
        <w:tc>
          <w:tcPr>
            <w:tcW w:w="5085" w:type="dxa"/>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tcPr>
          <w:p w14:paraId="21E9DBAB">
            <w:pPr>
              <w:widowControl/>
              <w:jc w:val="center"/>
              <w:rPr>
                <w:rFonts w:ascii="宋体" w:hAnsi="宋体" w:eastAsia="宋体" w:cs="宋体"/>
                <w:color w:val="auto"/>
                <w:kern w:val="0"/>
                <w:sz w:val="24"/>
                <w:szCs w:val="24"/>
              </w:rPr>
            </w:pPr>
            <w:r>
              <w:rPr>
                <w:rFonts w:hint="eastAsia" w:ascii="宋体" w:hAnsi="宋体" w:eastAsia="宋体" w:cs="宋体"/>
                <w:color w:val="auto"/>
                <w:kern w:val="0"/>
                <w:szCs w:val="21"/>
              </w:rPr>
              <w:t>人民币</w:t>
            </w:r>
            <w:r>
              <w:rPr>
                <w:rFonts w:hint="eastAsia" w:ascii="宋体" w:hAnsi="宋体" w:eastAsia="宋体" w:cs="宋体"/>
                <w:color w:val="auto"/>
                <w:kern w:val="0"/>
                <w:szCs w:val="21"/>
                <w:u w:val="single"/>
              </w:rPr>
              <w:t>16.5万元</w:t>
            </w:r>
          </w:p>
        </w:tc>
      </w:tr>
    </w:tbl>
    <w:p w14:paraId="36F974A4">
      <w:pPr>
        <w:widowControl/>
        <w:jc w:val="left"/>
        <w:rPr>
          <w:rFonts w:cs="Times New Roman" w:asciiTheme="minorEastAsia" w:hAnsiTheme="minorEastAsia"/>
          <w:b/>
          <w:bCs/>
          <w:color w:val="000000" w:themeColor="text1"/>
          <w:szCs w:val="21"/>
        </w:rPr>
      </w:pPr>
      <w:r>
        <w:rPr>
          <w:rFonts w:asciiTheme="minorEastAsia" w:hAnsiTheme="minorEastAsia"/>
          <w:color w:val="000000" w:themeColor="text1"/>
          <w:szCs w:val="21"/>
        </w:rPr>
        <w:br w:type="page"/>
      </w:r>
    </w:p>
    <w:p w14:paraId="461B115B">
      <w:pPr>
        <w:pStyle w:val="41"/>
        <w:pageBreakBefore w:val="0"/>
        <w:numPr>
          <w:ilvl w:val="0"/>
          <w:numId w:val="2"/>
        </w:numPr>
        <w:spacing w:before="0" w:line="360" w:lineRule="auto"/>
        <w:ind w:left="0" w:firstLine="0"/>
        <w:rPr>
          <w:rFonts w:asciiTheme="minorEastAsia" w:hAnsiTheme="minorEastAsia" w:eastAsiaTheme="minorEastAsia"/>
          <w:color w:val="000000" w:themeColor="text1"/>
          <w:szCs w:val="21"/>
        </w:rPr>
        <w:sectPr>
          <w:headerReference r:id="rId3" w:type="default"/>
          <w:footerReference r:id="rId4" w:type="default"/>
          <w:pgSz w:w="11906" w:h="16838"/>
          <w:pgMar w:top="1440" w:right="1080" w:bottom="1440" w:left="1080" w:header="851" w:footer="992" w:gutter="0"/>
          <w:cols w:space="425" w:num="1"/>
          <w:docGrid w:type="lines" w:linePitch="312" w:charSpace="0"/>
        </w:sectPr>
      </w:pPr>
    </w:p>
    <w:p w14:paraId="396BA7A0">
      <w:pPr>
        <w:pStyle w:val="41"/>
        <w:pageBreakBefore w:val="0"/>
        <w:numPr>
          <w:ilvl w:val="0"/>
          <w:numId w:val="2"/>
        </w:numPr>
        <w:spacing w:before="0" w:line="360" w:lineRule="auto"/>
        <w:ind w:left="0" w:firstLine="0"/>
        <w:rPr>
          <w:rFonts w:asciiTheme="minorEastAsia" w:hAnsiTheme="minorEastAsia" w:eastAsiaTheme="minorEastAsia"/>
          <w:color w:val="000000" w:themeColor="text1"/>
          <w:szCs w:val="21"/>
        </w:rPr>
      </w:pPr>
      <w:r>
        <w:rPr>
          <w:rFonts w:asciiTheme="minorEastAsia" w:hAnsiTheme="minorEastAsia" w:eastAsiaTheme="minorEastAsia"/>
          <w:color w:val="000000" w:themeColor="text1"/>
          <w:szCs w:val="21"/>
        </w:rPr>
        <w:t>项目</w:t>
      </w:r>
      <w:r>
        <w:rPr>
          <w:rFonts w:hint="eastAsia" w:asciiTheme="minorEastAsia" w:hAnsiTheme="minorEastAsia" w:eastAsiaTheme="minorEastAsia"/>
          <w:color w:val="000000" w:themeColor="text1"/>
          <w:szCs w:val="21"/>
        </w:rPr>
        <w:t>清单</w:t>
      </w:r>
    </w:p>
    <w:tbl>
      <w:tblPr>
        <w:tblStyle w:val="18"/>
        <w:tblW w:w="9897" w:type="dxa"/>
        <w:tblInd w:w="96" w:type="dxa"/>
        <w:tblLayout w:type="autofit"/>
        <w:tblCellMar>
          <w:top w:w="0" w:type="dxa"/>
          <w:left w:w="108" w:type="dxa"/>
          <w:bottom w:w="0" w:type="dxa"/>
          <w:right w:w="108" w:type="dxa"/>
        </w:tblCellMar>
      </w:tblPr>
      <w:tblGrid>
        <w:gridCol w:w="457"/>
        <w:gridCol w:w="975"/>
        <w:gridCol w:w="2286"/>
        <w:gridCol w:w="1776"/>
        <w:gridCol w:w="3278"/>
        <w:gridCol w:w="607"/>
        <w:gridCol w:w="518"/>
      </w:tblGrid>
      <w:tr w14:paraId="4B169860">
        <w:tblPrEx>
          <w:tblCellMar>
            <w:top w:w="0" w:type="dxa"/>
            <w:left w:w="108" w:type="dxa"/>
            <w:bottom w:w="0" w:type="dxa"/>
            <w:right w:w="108" w:type="dxa"/>
          </w:tblCellMar>
        </w:tblPrEx>
        <w:trPr>
          <w:trHeight w:val="697" w:hRule="atLeast"/>
        </w:trPr>
        <w:tc>
          <w:tcPr>
            <w:tcW w:w="4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C186D1">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rPr>
              <w:t>序号</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F18381">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rPr>
              <w:t>名称</w:t>
            </w:r>
          </w:p>
        </w:tc>
        <w:tc>
          <w:tcPr>
            <w:tcW w:w="22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309B12">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rPr>
              <w:t>图片</w:t>
            </w:r>
          </w:p>
        </w:tc>
        <w:tc>
          <w:tcPr>
            <w:tcW w:w="17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8C1F82">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rPr>
              <w:t>规格(W*D*H)</w:t>
            </w:r>
          </w:p>
        </w:tc>
        <w:tc>
          <w:tcPr>
            <w:tcW w:w="32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CF36D5">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rPr>
              <w:t>材料说明</w:t>
            </w:r>
          </w:p>
        </w:tc>
        <w:tc>
          <w:tcPr>
            <w:tcW w:w="6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7ADDE0">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rPr>
              <w:t>数量</w:t>
            </w:r>
          </w:p>
        </w:tc>
        <w:tc>
          <w:tcPr>
            <w:tcW w:w="51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C455BC">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rPr>
              <w:t>单位</w:t>
            </w:r>
          </w:p>
        </w:tc>
      </w:tr>
      <w:tr w14:paraId="4E4F4CC1">
        <w:tblPrEx>
          <w:tblCellMar>
            <w:top w:w="0" w:type="dxa"/>
            <w:left w:w="108" w:type="dxa"/>
            <w:bottom w:w="0" w:type="dxa"/>
            <w:right w:w="108" w:type="dxa"/>
          </w:tblCellMar>
        </w:tblPrEx>
        <w:trPr>
          <w:trHeight w:val="357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CD1E9">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25BC5">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文件柜</w:t>
            </w:r>
          </w:p>
        </w:tc>
        <w:tc>
          <w:tcPr>
            <w:tcW w:w="22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E5D08">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659264" behindDoc="0" locked="0" layoutInCell="1" allowOverlap="1">
                  <wp:simplePos x="0" y="0"/>
                  <wp:positionH relativeFrom="column">
                    <wp:posOffset>119380</wp:posOffset>
                  </wp:positionH>
                  <wp:positionV relativeFrom="paragraph">
                    <wp:posOffset>447040</wp:posOffset>
                  </wp:positionV>
                  <wp:extent cx="1057910" cy="1346835"/>
                  <wp:effectExtent l="0" t="0" r="8890" b="9525"/>
                  <wp:wrapNone/>
                  <wp:docPr id="43" name="图片_6"/>
                  <wp:cNvGraphicFramePr/>
                  <a:graphic xmlns:a="http://schemas.openxmlformats.org/drawingml/2006/main">
                    <a:graphicData uri="http://schemas.openxmlformats.org/drawingml/2006/picture">
                      <pic:pic xmlns:pic="http://schemas.openxmlformats.org/drawingml/2006/picture">
                        <pic:nvPicPr>
                          <pic:cNvPr id="43" name="图片_6"/>
                          <pic:cNvPicPr/>
                        </pic:nvPicPr>
                        <pic:blipFill>
                          <a:blip r:embed="rId6" cstate="print"/>
                          <a:stretch>
                            <a:fillRect/>
                          </a:stretch>
                        </pic:blipFill>
                        <pic:spPr>
                          <a:xfrm>
                            <a:off x="0" y="0"/>
                            <a:ext cx="1057910" cy="1346835"/>
                          </a:xfrm>
                          <a:prstGeom prst="rect">
                            <a:avLst/>
                          </a:prstGeom>
                          <a:noFill/>
                          <a:ln>
                            <a:noFill/>
                          </a:ln>
                        </pic:spPr>
                      </pic:pic>
                    </a:graphicData>
                  </a:graphic>
                </wp:anchor>
              </w:drawing>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A4DB3">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900*400*850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C652D">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(1)面材:采用三聚氰氨板饰面 ，耐酸、耐碱、耐磨、防火。(2)基材:采用E1级优质环保多层夹板，符合国家环保标准，甲醛释放量&lt;0.124mg/m3。板材干燥处理至含水率&lt;10%，经高温防潮、防腐、防虫处理，耐久不变形。(3)封边用材:2.0mmPVC 同色封边，封边应严密、平整、不允许有脱胶表面有胶渍，采用热压工艺处理。(4)五金件:采用高品质品牌五金件，需作防锈、防腐处理。(5)粘合剂材:采用环保胶水。（顶板25厘、其它18厘）</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444AA">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c>
          <w:tcPr>
            <w:tcW w:w="51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B47640">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个</w:t>
            </w:r>
          </w:p>
        </w:tc>
      </w:tr>
      <w:tr w14:paraId="3709870C">
        <w:tblPrEx>
          <w:tblCellMar>
            <w:top w:w="0" w:type="dxa"/>
            <w:left w:w="108" w:type="dxa"/>
            <w:bottom w:w="0" w:type="dxa"/>
            <w:right w:w="108" w:type="dxa"/>
          </w:tblCellMar>
        </w:tblPrEx>
        <w:trPr>
          <w:trHeight w:val="3406"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12327">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3B6B7">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办公椅</w:t>
            </w:r>
          </w:p>
        </w:tc>
        <w:tc>
          <w:tcPr>
            <w:tcW w:w="22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E15A6">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660288" behindDoc="0" locked="0" layoutInCell="1" allowOverlap="1">
                  <wp:simplePos x="0" y="0"/>
                  <wp:positionH relativeFrom="column">
                    <wp:posOffset>95885</wp:posOffset>
                  </wp:positionH>
                  <wp:positionV relativeFrom="paragraph">
                    <wp:posOffset>131445</wp:posOffset>
                  </wp:positionV>
                  <wp:extent cx="1058545" cy="1562735"/>
                  <wp:effectExtent l="0" t="0" r="8255" b="6985"/>
                  <wp:wrapNone/>
                  <wp:docPr id="45" name="图片_1"/>
                  <wp:cNvGraphicFramePr/>
                  <a:graphic xmlns:a="http://schemas.openxmlformats.org/drawingml/2006/main">
                    <a:graphicData uri="http://schemas.openxmlformats.org/drawingml/2006/picture">
                      <pic:pic xmlns:pic="http://schemas.openxmlformats.org/drawingml/2006/picture">
                        <pic:nvPicPr>
                          <pic:cNvPr id="45" name="图片_1"/>
                          <pic:cNvPicPr/>
                        </pic:nvPicPr>
                        <pic:blipFill>
                          <a:blip r:embed="rId7" cstate="print"/>
                          <a:stretch>
                            <a:fillRect/>
                          </a:stretch>
                        </pic:blipFill>
                        <pic:spPr>
                          <a:xfrm>
                            <a:off x="0" y="0"/>
                            <a:ext cx="1058545" cy="1562735"/>
                          </a:xfrm>
                          <a:prstGeom prst="rect">
                            <a:avLst/>
                          </a:prstGeom>
                          <a:noFill/>
                          <a:ln>
                            <a:noFill/>
                          </a:ln>
                        </pic:spPr>
                      </pic:pic>
                    </a:graphicData>
                  </a:graphic>
                </wp:anchor>
              </w:drawing>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3197D">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600*640*965</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A409D">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中背职员椅，</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1.黑色全新料加纤背框，扪华宇透气网布；</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2.黑色PP软质固定腰靠；</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3.黑色全新料加纤固定扶手；</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4.45高密度纯绵坐垫，扪华宇透气网布；</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5. 2.5mm厚度原位锁定底盘；</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6.三级SGS认证气杆，100mm缩50mm；</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7.320mm黑色尼龙高脚，静压1000KG;</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8.60mm尼龙+PU静音脚轮过BIFMA。</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0BBA4">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6</w:t>
            </w:r>
          </w:p>
        </w:tc>
        <w:tc>
          <w:tcPr>
            <w:tcW w:w="51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C08E1C">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张</w:t>
            </w:r>
          </w:p>
        </w:tc>
      </w:tr>
      <w:tr w14:paraId="3B76FA15">
        <w:tblPrEx>
          <w:tblCellMar>
            <w:top w:w="0" w:type="dxa"/>
            <w:left w:w="108" w:type="dxa"/>
            <w:bottom w:w="0" w:type="dxa"/>
            <w:right w:w="108" w:type="dxa"/>
          </w:tblCellMar>
        </w:tblPrEx>
        <w:trPr>
          <w:trHeight w:val="3406"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EF335">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w:t>
            </w:r>
          </w:p>
        </w:tc>
        <w:tc>
          <w:tcPr>
            <w:tcW w:w="9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38734F">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吧椅</w:t>
            </w:r>
          </w:p>
        </w:tc>
        <w:tc>
          <w:tcPr>
            <w:tcW w:w="22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1174DD">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bdr w:val="single" w:color="000000" w:sz="4" w:space="0"/>
                <w:shd w:val="clear" w:color="auto" w:fill="FFFFFF"/>
              </w:rPr>
              <w:drawing>
                <wp:anchor distT="0" distB="0" distL="114300" distR="114300" simplePos="0" relativeHeight="251661312" behindDoc="0" locked="0" layoutInCell="1" allowOverlap="1">
                  <wp:simplePos x="0" y="0"/>
                  <wp:positionH relativeFrom="column">
                    <wp:posOffset>154940</wp:posOffset>
                  </wp:positionH>
                  <wp:positionV relativeFrom="paragraph">
                    <wp:posOffset>370205</wp:posOffset>
                  </wp:positionV>
                  <wp:extent cx="962025" cy="1144905"/>
                  <wp:effectExtent l="0" t="0" r="13335" b="13335"/>
                  <wp:wrapNone/>
                  <wp:docPr id="55" name="图片_4"/>
                  <wp:cNvGraphicFramePr/>
                  <a:graphic xmlns:a="http://schemas.openxmlformats.org/drawingml/2006/main">
                    <a:graphicData uri="http://schemas.openxmlformats.org/drawingml/2006/picture">
                      <pic:pic xmlns:pic="http://schemas.openxmlformats.org/drawingml/2006/picture">
                        <pic:nvPicPr>
                          <pic:cNvPr id="55" name="图片_4"/>
                          <pic:cNvPicPr/>
                        </pic:nvPicPr>
                        <pic:blipFill>
                          <a:blip r:embed="rId8" cstate="print"/>
                          <a:stretch>
                            <a:fillRect/>
                          </a:stretch>
                        </pic:blipFill>
                        <pic:spPr>
                          <a:xfrm>
                            <a:off x="0" y="0"/>
                            <a:ext cx="962025" cy="1144905"/>
                          </a:xfrm>
                          <a:prstGeom prst="rect">
                            <a:avLst/>
                          </a:prstGeom>
                          <a:noFill/>
                          <a:ln>
                            <a:noFill/>
                          </a:ln>
                        </pic:spPr>
                      </pic:pic>
                    </a:graphicData>
                  </a:graphic>
                </wp:anchor>
              </w:drawing>
            </w:r>
          </w:p>
        </w:tc>
        <w:tc>
          <w:tcPr>
            <w:tcW w:w="17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585419">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350*350*500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5E210">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优质西皮饰面，采用优质钢制圆盘脚架，表面经酸洗，镀铬处理；坐垫与靠背为优质西皮饰面，优质高密度海棉基里；所有五金配件做防锈、防腐处理。</w:t>
            </w:r>
          </w:p>
        </w:tc>
        <w:tc>
          <w:tcPr>
            <w:tcW w:w="6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F32802">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w:t>
            </w:r>
          </w:p>
        </w:tc>
        <w:tc>
          <w:tcPr>
            <w:tcW w:w="51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6DB7A7">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张</w:t>
            </w:r>
          </w:p>
        </w:tc>
      </w:tr>
      <w:tr w14:paraId="068F95E3">
        <w:tblPrEx>
          <w:tblCellMar>
            <w:top w:w="0" w:type="dxa"/>
            <w:left w:w="108" w:type="dxa"/>
            <w:bottom w:w="0" w:type="dxa"/>
            <w:right w:w="108" w:type="dxa"/>
          </w:tblCellMar>
        </w:tblPrEx>
        <w:trPr>
          <w:trHeight w:val="3781"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3BCE8">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DB1F6">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办公桌</w:t>
            </w:r>
          </w:p>
        </w:tc>
        <w:tc>
          <w:tcPr>
            <w:tcW w:w="2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240C7">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662336" behindDoc="0" locked="0" layoutInCell="1" allowOverlap="1">
                  <wp:simplePos x="0" y="0"/>
                  <wp:positionH relativeFrom="column">
                    <wp:posOffset>-2540</wp:posOffset>
                  </wp:positionH>
                  <wp:positionV relativeFrom="paragraph">
                    <wp:posOffset>456565</wp:posOffset>
                  </wp:positionV>
                  <wp:extent cx="1334770" cy="1202690"/>
                  <wp:effectExtent l="0" t="0" r="6350" b="1270"/>
                  <wp:wrapNone/>
                  <wp:docPr id="44" name="图片_18"/>
                  <wp:cNvGraphicFramePr/>
                  <a:graphic xmlns:a="http://schemas.openxmlformats.org/drawingml/2006/main">
                    <a:graphicData uri="http://schemas.openxmlformats.org/drawingml/2006/picture">
                      <pic:pic xmlns:pic="http://schemas.openxmlformats.org/drawingml/2006/picture">
                        <pic:nvPicPr>
                          <pic:cNvPr id="44" name="图片_18"/>
                          <pic:cNvPicPr/>
                        </pic:nvPicPr>
                        <pic:blipFill>
                          <a:blip r:embed="rId9" cstate="print"/>
                          <a:stretch>
                            <a:fillRect/>
                          </a:stretch>
                        </pic:blipFill>
                        <pic:spPr>
                          <a:xfrm>
                            <a:off x="0" y="0"/>
                            <a:ext cx="1334770" cy="1202690"/>
                          </a:xfrm>
                          <a:prstGeom prst="rect">
                            <a:avLst/>
                          </a:prstGeom>
                          <a:noFill/>
                          <a:ln>
                            <a:noFill/>
                          </a:ln>
                        </pic:spPr>
                      </pic:pic>
                    </a:graphicData>
                  </a:graphic>
                </wp:anchor>
              </w:drawing>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3B35A">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1200*600*750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EB1F0">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(1)面材:采用三聚氰氨板饰面 ，耐酸、耐碱、耐磨、防火。(2)基材:采用E1级优质环保多层夹板，符合国家环保标准，甲醛释放量&lt;0.124mg/m3。板材干燥处理至含水率&lt;10%，经高温防潮、防腐、防虫处理，耐久不变形。(3)封边用材:2.0mmPVC 同色封边，封边应严密、平整、不允许有脱胶表面有胶渍，采用热压工艺处理。(4)五金件:采用高品质品牌五金件，需作防锈、防腐处理。(5)粘合剂材:采用环保胶水。6.采用优质钢脚。(配主机架、活动柜、键盘架）</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AA6B3">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w:t>
            </w:r>
          </w:p>
        </w:tc>
        <w:tc>
          <w:tcPr>
            <w:tcW w:w="5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ABF50">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张</w:t>
            </w:r>
          </w:p>
        </w:tc>
      </w:tr>
      <w:tr w14:paraId="5BB77D91">
        <w:tblPrEx>
          <w:tblCellMar>
            <w:top w:w="0" w:type="dxa"/>
            <w:left w:w="108" w:type="dxa"/>
            <w:bottom w:w="0" w:type="dxa"/>
            <w:right w:w="108" w:type="dxa"/>
          </w:tblCellMar>
        </w:tblPrEx>
        <w:trPr>
          <w:trHeight w:val="3406"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076B3">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81CB3">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办公椅</w:t>
            </w:r>
          </w:p>
        </w:tc>
        <w:tc>
          <w:tcPr>
            <w:tcW w:w="2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F5B3B">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663360" behindDoc="0" locked="0" layoutInCell="1" allowOverlap="1">
                  <wp:simplePos x="0" y="0"/>
                  <wp:positionH relativeFrom="column">
                    <wp:posOffset>194310</wp:posOffset>
                  </wp:positionH>
                  <wp:positionV relativeFrom="paragraph">
                    <wp:posOffset>82550</wp:posOffset>
                  </wp:positionV>
                  <wp:extent cx="983615" cy="1710690"/>
                  <wp:effectExtent l="0" t="0" r="6985" b="11430"/>
                  <wp:wrapNone/>
                  <wp:docPr id="61" name="图片_16"/>
                  <wp:cNvGraphicFramePr/>
                  <a:graphic xmlns:a="http://schemas.openxmlformats.org/drawingml/2006/main">
                    <a:graphicData uri="http://schemas.openxmlformats.org/drawingml/2006/picture">
                      <pic:pic xmlns:pic="http://schemas.openxmlformats.org/drawingml/2006/picture">
                        <pic:nvPicPr>
                          <pic:cNvPr id="61" name="图片_16"/>
                          <pic:cNvPicPr/>
                        </pic:nvPicPr>
                        <pic:blipFill>
                          <a:blip r:embed="rId10" cstate="print"/>
                          <a:stretch>
                            <a:fillRect/>
                          </a:stretch>
                        </pic:blipFill>
                        <pic:spPr>
                          <a:xfrm>
                            <a:off x="0" y="0"/>
                            <a:ext cx="983615" cy="1710690"/>
                          </a:xfrm>
                          <a:prstGeom prst="rect">
                            <a:avLst/>
                          </a:prstGeom>
                          <a:noFill/>
                          <a:ln>
                            <a:noFill/>
                          </a:ln>
                        </pic:spPr>
                      </pic:pic>
                    </a:graphicData>
                  </a:graphic>
                </wp:anchor>
              </w:drawing>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643AD">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600*640*1140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66D07">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高背主管椅，</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1.可升降网头枕；</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2.黑色全新料加纤背框，扪华宇透气网布；</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3.黑色PP软质固定腰靠；</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4.黑色全新料加纤固定扶手；</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5.45高密度纯绵坐垫，扪华宇透气网布；</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6. 2.5mm厚度原位锁定底盘；</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7.三级SGS认证气杆，100mm缩50mm；</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8.340mm黑色尼龙高脚，静压1000KG;</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9.60mm尼龙+PU静音脚轮过BIFMA。</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33E36">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652CD">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张</w:t>
            </w:r>
          </w:p>
        </w:tc>
      </w:tr>
      <w:tr w14:paraId="5CA482B6">
        <w:tblPrEx>
          <w:tblCellMar>
            <w:top w:w="0" w:type="dxa"/>
            <w:left w:w="108" w:type="dxa"/>
            <w:bottom w:w="0" w:type="dxa"/>
            <w:right w:w="108" w:type="dxa"/>
          </w:tblCellMar>
        </w:tblPrEx>
        <w:trPr>
          <w:trHeight w:val="3406"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A166F">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6</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C2A7A">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文件柜</w:t>
            </w:r>
          </w:p>
        </w:tc>
        <w:tc>
          <w:tcPr>
            <w:tcW w:w="2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5F13C">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664384" behindDoc="0" locked="0" layoutInCell="1" allowOverlap="1">
                  <wp:simplePos x="0" y="0"/>
                  <wp:positionH relativeFrom="column">
                    <wp:posOffset>143510</wp:posOffset>
                  </wp:positionH>
                  <wp:positionV relativeFrom="paragraph">
                    <wp:posOffset>241300</wp:posOffset>
                  </wp:positionV>
                  <wp:extent cx="1092835" cy="1644650"/>
                  <wp:effectExtent l="0" t="0" r="4445" b="1270"/>
                  <wp:wrapNone/>
                  <wp:docPr id="62" name="图片_19"/>
                  <wp:cNvGraphicFramePr/>
                  <a:graphic xmlns:a="http://schemas.openxmlformats.org/drawingml/2006/main">
                    <a:graphicData uri="http://schemas.openxmlformats.org/drawingml/2006/picture">
                      <pic:pic xmlns:pic="http://schemas.openxmlformats.org/drawingml/2006/picture">
                        <pic:nvPicPr>
                          <pic:cNvPr id="62" name="图片_19"/>
                          <pic:cNvPicPr/>
                        </pic:nvPicPr>
                        <pic:blipFill>
                          <a:blip r:embed="rId11" cstate="print"/>
                          <a:stretch>
                            <a:fillRect/>
                          </a:stretch>
                        </pic:blipFill>
                        <pic:spPr>
                          <a:xfrm>
                            <a:off x="0" y="0"/>
                            <a:ext cx="1092835" cy="1644650"/>
                          </a:xfrm>
                          <a:prstGeom prst="rect">
                            <a:avLst/>
                          </a:prstGeom>
                          <a:noFill/>
                          <a:ln>
                            <a:noFill/>
                          </a:ln>
                        </pic:spPr>
                      </pic:pic>
                    </a:graphicData>
                  </a:graphic>
                </wp:anchor>
              </w:drawing>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51ABF">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1200*500*2600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7BE8D">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(1)面材:采用三聚氰氨板饰面 ，耐酸、耐碱、耐磨、防火。(2)基材:采用E1级优质环保多层夹板，符合国家环保标准，甲醛释放量&lt;0.124mg/m3。板材干燥处理至含水率&lt;10%，经高温防潮、防腐、防虫处理，耐久不变形。(3)封边用材:2.0mmPVC 同色封边，封边应严密、平整、不允许有脱胶表面有胶渍，采用热压工艺处理。(4)五金件:采用高品质品牌五金件，需作防锈、防腐处理。(5)粘合剂材:采用环保胶水。（顶板、层板25厘、其它18厘）</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AB80C">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73CA2">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个</w:t>
            </w:r>
          </w:p>
        </w:tc>
      </w:tr>
      <w:tr w14:paraId="0791343F">
        <w:tblPrEx>
          <w:tblCellMar>
            <w:top w:w="0" w:type="dxa"/>
            <w:left w:w="108" w:type="dxa"/>
            <w:bottom w:w="0" w:type="dxa"/>
            <w:right w:w="108" w:type="dxa"/>
          </w:tblCellMar>
        </w:tblPrEx>
        <w:trPr>
          <w:trHeight w:val="3406"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A3ABA">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7</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E99E6">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办公椅</w:t>
            </w:r>
          </w:p>
        </w:tc>
        <w:tc>
          <w:tcPr>
            <w:tcW w:w="22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E877F">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665408" behindDoc="0" locked="0" layoutInCell="1" allowOverlap="1">
                  <wp:simplePos x="0" y="0"/>
                  <wp:positionH relativeFrom="column">
                    <wp:posOffset>152400</wp:posOffset>
                  </wp:positionH>
                  <wp:positionV relativeFrom="paragraph">
                    <wp:posOffset>329565</wp:posOffset>
                  </wp:positionV>
                  <wp:extent cx="1012190" cy="1343660"/>
                  <wp:effectExtent l="0" t="0" r="8890" b="12700"/>
                  <wp:wrapNone/>
                  <wp:docPr id="49" name="图片_1_SpCnt_1"/>
                  <wp:cNvGraphicFramePr/>
                  <a:graphic xmlns:a="http://schemas.openxmlformats.org/drawingml/2006/main">
                    <a:graphicData uri="http://schemas.openxmlformats.org/drawingml/2006/picture">
                      <pic:pic xmlns:pic="http://schemas.openxmlformats.org/drawingml/2006/picture">
                        <pic:nvPicPr>
                          <pic:cNvPr id="49" name="图片_1_SpCnt_1"/>
                          <pic:cNvPicPr/>
                        </pic:nvPicPr>
                        <pic:blipFill>
                          <a:blip r:embed="rId12" cstate="print"/>
                          <a:stretch>
                            <a:fillRect/>
                          </a:stretch>
                        </pic:blipFill>
                        <pic:spPr>
                          <a:xfrm>
                            <a:off x="0" y="0"/>
                            <a:ext cx="1012190" cy="1343660"/>
                          </a:xfrm>
                          <a:prstGeom prst="rect">
                            <a:avLst/>
                          </a:prstGeom>
                          <a:noFill/>
                          <a:ln>
                            <a:noFill/>
                          </a:ln>
                        </pic:spPr>
                      </pic:pic>
                    </a:graphicData>
                  </a:graphic>
                </wp:anchor>
              </w:drawing>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4D027">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600*640*965</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C0EAA">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1.面料优质耐磨网饰面，高级耐磨弹力绒布座饰面；</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2.靠背采用黑色全新料加纤框架，透气网布，可活动逍遥；</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3.架子1.5厚度的A3钢材喷黑四脚架。</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A7921">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w:t>
            </w:r>
          </w:p>
        </w:tc>
        <w:tc>
          <w:tcPr>
            <w:tcW w:w="51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9F17F3">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张</w:t>
            </w:r>
          </w:p>
        </w:tc>
      </w:tr>
      <w:tr w14:paraId="5BA9D210">
        <w:tblPrEx>
          <w:tblCellMar>
            <w:top w:w="0" w:type="dxa"/>
            <w:left w:w="108" w:type="dxa"/>
            <w:bottom w:w="0" w:type="dxa"/>
            <w:right w:w="108" w:type="dxa"/>
          </w:tblCellMar>
        </w:tblPrEx>
        <w:trPr>
          <w:trHeight w:val="3594"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4EC9C">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8</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5BA6D">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文件柜</w:t>
            </w:r>
          </w:p>
        </w:tc>
        <w:tc>
          <w:tcPr>
            <w:tcW w:w="2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187CF">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666432" behindDoc="0" locked="0" layoutInCell="1" allowOverlap="1">
                  <wp:simplePos x="0" y="0"/>
                  <wp:positionH relativeFrom="column">
                    <wp:posOffset>275590</wp:posOffset>
                  </wp:positionH>
                  <wp:positionV relativeFrom="paragraph">
                    <wp:posOffset>47625</wp:posOffset>
                  </wp:positionV>
                  <wp:extent cx="742950" cy="1851660"/>
                  <wp:effectExtent l="0" t="0" r="3810" b="7620"/>
                  <wp:wrapNone/>
                  <wp:docPr id="46" name="图片_22"/>
                  <wp:cNvGraphicFramePr/>
                  <a:graphic xmlns:a="http://schemas.openxmlformats.org/drawingml/2006/main">
                    <a:graphicData uri="http://schemas.openxmlformats.org/drawingml/2006/picture">
                      <pic:pic xmlns:pic="http://schemas.openxmlformats.org/drawingml/2006/picture">
                        <pic:nvPicPr>
                          <pic:cNvPr id="46" name="图片_22"/>
                          <pic:cNvPicPr/>
                        </pic:nvPicPr>
                        <pic:blipFill>
                          <a:blip r:embed="rId13" cstate="print"/>
                          <a:stretch>
                            <a:fillRect/>
                          </a:stretch>
                        </pic:blipFill>
                        <pic:spPr>
                          <a:xfrm>
                            <a:off x="0" y="0"/>
                            <a:ext cx="742950" cy="1851660"/>
                          </a:xfrm>
                          <a:prstGeom prst="rect">
                            <a:avLst/>
                          </a:prstGeom>
                          <a:noFill/>
                          <a:ln>
                            <a:noFill/>
                          </a:ln>
                        </pic:spPr>
                      </pic:pic>
                    </a:graphicData>
                  </a:graphic>
                </wp:anchor>
              </w:drawing>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BE088">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860*400*2600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8D2FF">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(1)面材:采用三聚氰氨板饰面 ，耐酸、耐碱、耐磨、防火。(2)基材:采用E1级优质环保多层夹板，符合国家环保标准，甲醛释放量&lt;0.124mg/m3。板材干燥处理至含水率&lt;10%，经高温防潮、防腐、防虫处理，耐久不变形。(3)封边用材:2.0mmPVC 同色封边，封边应严密、平整、不允许有脱胶表面有胶渍，采用热压工艺处理。(4)五金件:采用高品质品牌五金件，需作防锈、防腐处理。(5)粘合剂材:采用环保胶水。（顶板、层板25厘、其它18厘）</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35A0F">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w:t>
            </w:r>
          </w:p>
        </w:tc>
        <w:tc>
          <w:tcPr>
            <w:tcW w:w="5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C63B6">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个</w:t>
            </w:r>
          </w:p>
        </w:tc>
      </w:tr>
      <w:tr w14:paraId="5325F867">
        <w:tblPrEx>
          <w:tblCellMar>
            <w:top w:w="0" w:type="dxa"/>
            <w:left w:w="108" w:type="dxa"/>
            <w:bottom w:w="0" w:type="dxa"/>
            <w:right w:w="108" w:type="dxa"/>
          </w:tblCellMar>
        </w:tblPrEx>
        <w:trPr>
          <w:trHeight w:val="2656"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52184">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9</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76965">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配药柜（治疗室）</w:t>
            </w:r>
          </w:p>
        </w:tc>
        <w:tc>
          <w:tcPr>
            <w:tcW w:w="228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294EB">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667456" behindDoc="0" locked="0" layoutInCell="1" allowOverlap="1">
                  <wp:simplePos x="0" y="0"/>
                  <wp:positionH relativeFrom="column">
                    <wp:posOffset>76835</wp:posOffset>
                  </wp:positionH>
                  <wp:positionV relativeFrom="paragraph">
                    <wp:posOffset>939165</wp:posOffset>
                  </wp:positionV>
                  <wp:extent cx="1181100" cy="1708785"/>
                  <wp:effectExtent l="0" t="0" r="7620" b="13335"/>
                  <wp:wrapNone/>
                  <wp:docPr id="37" name="图片_15"/>
                  <wp:cNvGraphicFramePr/>
                  <a:graphic xmlns:a="http://schemas.openxmlformats.org/drawingml/2006/main">
                    <a:graphicData uri="http://schemas.openxmlformats.org/drawingml/2006/picture">
                      <pic:pic xmlns:pic="http://schemas.openxmlformats.org/drawingml/2006/picture">
                        <pic:nvPicPr>
                          <pic:cNvPr id="37" name="图片_15"/>
                          <pic:cNvPicPr/>
                        </pic:nvPicPr>
                        <pic:blipFill>
                          <a:blip r:embed="rId14" cstate="print"/>
                          <a:stretch>
                            <a:fillRect/>
                          </a:stretch>
                        </pic:blipFill>
                        <pic:spPr>
                          <a:xfrm>
                            <a:off x="0" y="0"/>
                            <a:ext cx="1181100" cy="1708785"/>
                          </a:xfrm>
                          <a:prstGeom prst="rect">
                            <a:avLst/>
                          </a:prstGeom>
                          <a:noFill/>
                          <a:ln>
                            <a:noFill/>
                          </a:ln>
                        </pic:spPr>
                      </pic:pic>
                    </a:graphicData>
                  </a:graphic>
                </wp:anchor>
              </w:drawing>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CAF42">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2700*700*2600</w:t>
            </w:r>
          </w:p>
        </w:tc>
        <w:tc>
          <w:tcPr>
            <w:tcW w:w="32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220697">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材质：采用1.0mm厚一级优质电解钢板；标配1.0mm厚304#不锈钢踢脚线，踢脚线前端内缩25mm，无触脚感，高度为150mm；台面采用12mm厚医用复亚克力人造石，无缝拼接，防渗易清洁，满足院感需求，柜体金属表面进口抑菌粉末静电喷涂；</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2、配件：一体折弯拉手、缓冲阻尼铰链、三节导轨、标签卡槽、地柜带锁；</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3、配置：整柜为模块式组合，由上中下柜体组成，上吊柜为对开钢框玻璃掩门（内配3件活动层板），中间背架为两根60*40*2600mm的立柱+背板，下柜为上抽屉下掩门（内配一件活动层板），门板双层结构+尼龙调节脚+复亚克力人造石。(门板颜色为：木纹转印）</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8B1C0">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51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83C3B0">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组</w:t>
            </w:r>
          </w:p>
        </w:tc>
      </w:tr>
      <w:tr w14:paraId="05B7E803">
        <w:tblPrEx>
          <w:tblCellMar>
            <w:top w:w="0" w:type="dxa"/>
            <w:left w:w="108" w:type="dxa"/>
            <w:bottom w:w="0" w:type="dxa"/>
            <w:right w:w="108" w:type="dxa"/>
          </w:tblCellMar>
        </w:tblPrEx>
        <w:trPr>
          <w:trHeight w:val="2656"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1B67A">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CFA04">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配药柜　</w:t>
            </w:r>
          </w:p>
        </w:tc>
        <w:tc>
          <w:tcPr>
            <w:tcW w:w="22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569A4">
            <w:pPr>
              <w:jc w:val="center"/>
              <w:rPr>
                <w:rFonts w:ascii="宋体" w:hAnsi="宋体" w:eastAsia="宋体" w:cs="宋体"/>
                <w:color w:val="000000"/>
                <w:sz w:val="18"/>
                <w:szCs w:val="18"/>
              </w:rPr>
            </w:pP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B73C7">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2600*700*2600</w:t>
            </w:r>
          </w:p>
        </w:tc>
        <w:tc>
          <w:tcPr>
            <w:tcW w:w="32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F01E2A">
            <w:pPr>
              <w:jc w:val="left"/>
              <w:rPr>
                <w:rFonts w:ascii="宋体" w:hAnsi="宋体" w:eastAsia="宋体" w:cs="宋体"/>
                <w:color w:val="000000"/>
                <w:sz w:val="18"/>
                <w:szCs w:val="18"/>
              </w:rPr>
            </w:pP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1CEE6">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51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725BCA">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组</w:t>
            </w:r>
          </w:p>
        </w:tc>
      </w:tr>
      <w:tr w14:paraId="536F947D">
        <w:tblPrEx>
          <w:tblCellMar>
            <w:top w:w="0" w:type="dxa"/>
            <w:left w:w="108" w:type="dxa"/>
            <w:bottom w:w="0" w:type="dxa"/>
            <w:right w:w="108" w:type="dxa"/>
          </w:tblCellMar>
        </w:tblPrEx>
        <w:trPr>
          <w:trHeight w:val="4594"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2B655">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11</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737CC">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洗手盘柜</w:t>
            </w:r>
          </w:p>
        </w:tc>
        <w:tc>
          <w:tcPr>
            <w:tcW w:w="22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BA081">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668480" behindDoc="0" locked="0" layoutInCell="1" allowOverlap="1">
                  <wp:simplePos x="0" y="0"/>
                  <wp:positionH relativeFrom="column">
                    <wp:posOffset>26035</wp:posOffset>
                  </wp:positionH>
                  <wp:positionV relativeFrom="paragraph">
                    <wp:posOffset>690880</wp:posOffset>
                  </wp:positionV>
                  <wp:extent cx="1226820" cy="1485265"/>
                  <wp:effectExtent l="0" t="0" r="7620" b="8255"/>
                  <wp:wrapNone/>
                  <wp:docPr id="50" name="图片_7"/>
                  <wp:cNvGraphicFramePr/>
                  <a:graphic xmlns:a="http://schemas.openxmlformats.org/drawingml/2006/main">
                    <a:graphicData uri="http://schemas.openxmlformats.org/drawingml/2006/picture">
                      <pic:pic xmlns:pic="http://schemas.openxmlformats.org/drawingml/2006/picture">
                        <pic:nvPicPr>
                          <pic:cNvPr id="50" name="图片_7"/>
                          <pic:cNvPicPr/>
                        </pic:nvPicPr>
                        <pic:blipFill>
                          <a:blip r:embed="rId15" cstate="print"/>
                          <a:stretch>
                            <a:fillRect/>
                          </a:stretch>
                        </pic:blipFill>
                        <pic:spPr>
                          <a:xfrm>
                            <a:off x="0" y="0"/>
                            <a:ext cx="1226820" cy="1485265"/>
                          </a:xfrm>
                          <a:prstGeom prst="rect">
                            <a:avLst/>
                          </a:prstGeom>
                          <a:noFill/>
                          <a:ln>
                            <a:noFill/>
                          </a:ln>
                        </pic:spPr>
                      </pic:pic>
                    </a:graphicData>
                  </a:graphic>
                </wp:anchor>
              </w:drawing>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A9839">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700*500*850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9D1AF">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材质：采用1.0mm厚一级优质电解钢板；标配1.0mm厚304#不锈钢踢脚线，踢脚线前端内缩25mm，无触脚感，高度为150mm；台面采用12mm厚医用复亚克力人造石，无缝拼接，防渗易清洁，满足院感需求，柜体金属表面进口抑菌粉末静电喷涂；</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2、配件：一体折弯拉手、缓冲阻尼铰链、三节导轨、标签卡槽、带锁；</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3、配置：对开掩门柜(内无层板)+尼龙调节脚+复亚克力人造石；</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4、含304#不锈钢水盆、下水器及高抛感应单冷水龙头。(门板颜色为：木纹转印）</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86C89">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c>
          <w:tcPr>
            <w:tcW w:w="51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862E2B">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个</w:t>
            </w:r>
          </w:p>
        </w:tc>
      </w:tr>
      <w:tr w14:paraId="3DD84DAF">
        <w:tblPrEx>
          <w:tblCellMar>
            <w:top w:w="0" w:type="dxa"/>
            <w:left w:w="108" w:type="dxa"/>
            <w:bottom w:w="0" w:type="dxa"/>
            <w:right w:w="108" w:type="dxa"/>
          </w:tblCellMar>
        </w:tblPrEx>
        <w:trPr>
          <w:trHeight w:val="4802"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69A04">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12</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13185">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垃圾分类柜</w:t>
            </w:r>
          </w:p>
        </w:tc>
        <w:tc>
          <w:tcPr>
            <w:tcW w:w="22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9AA47">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669504" behindDoc="0" locked="0" layoutInCell="1" allowOverlap="1">
                  <wp:simplePos x="0" y="0"/>
                  <wp:positionH relativeFrom="column">
                    <wp:posOffset>153035</wp:posOffset>
                  </wp:positionH>
                  <wp:positionV relativeFrom="paragraph">
                    <wp:posOffset>466090</wp:posOffset>
                  </wp:positionV>
                  <wp:extent cx="1043305" cy="1682115"/>
                  <wp:effectExtent l="0" t="0" r="8255" b="9525"/>
                  <wp:wrapNone/>
                  <wp:docPr id="56" name="图片_26"/>
                  <wp:cNvGraphicFramePr/>
                  <a:graphic xmlns:a="http://schemas.openxmlformats.org/drawingml/2006/main">
                    <a:graphicData uri="http://schemas.openxmlformats.org/drawingml/2006/picture">
                      <pic:pic xmlns:pic="http://schemas.openxmlformats.org/drawingml/2006/picture">
                        <pic:nvPicPr>
                          <pic:cNvPr id="56" name="图片_26"/>
                          <pic:cNvPicPr/>
                        </pic:nvPicPr>
                        <pic:blipFill>
                          <a:blip r:embed="rId16" cstate="print"/>
                          <a:stretch>
                            <a:fillRect/>
                          </a:stretch>
                        </pic:blipFill>
                        <pic:spPr>
                          <a:xfrm>
                            <a:off x="0" y="0"/>
                            <a:ext cx="1043305" cy="1682115"/>
                          </a:xfrm>
                          <a:prstGeom prst="rect">
                            <a:avLst/>
                          </a:prstGeom>
                          <a:noFill/>
                          <a:ln>
                            <a:noFill/>
                          </a:ln>
                        </pic:spPr>
                      </pic:pic>
                    </a:graphicData>
                  </a:graphic>
                </wp:anchor>
              </w:drawing>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DEB18">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2400*550*2600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5FEF2">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材质：采用1.0mm厚一级优质电解钢板；标配1.0mm厚304#不锈钢踢脚线，踢脚线前端内缩25mm，无触脚感，高度为150mm；台面采用12mm厚医用复亚克力人造石，无缝拼接，防渗易清洁，满足院感需求，柜体金属表面进口抑菌粉末静电喷涂；</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2、配件：一体折弯拉手、缓冲阻尼铰链、三节导轨、标签卡槽、地柜带锁；</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3、配置：整柜分上下柜组合，上柜为三开全钢掩门（内配2件活动层板），上柜下底板离台面高550mm；下柜为对开门处置柜，门板双层结构+尼龙调节脚+复亚克力人造石。</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4、含4套不锈钢处置装置。(门板颜色为：木纹转印）</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8E368">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51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B0E42B">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组</w:t>
            </w:r>
          </w:p>
        </w:tc>
      </w:tr>
      <w:tr w14:paraId="3DDEC8CF">
        <w:tblPrEx>
          <w:tblCellMar>
            <w:top w:w="0" w:type="dxa"/>
            <w:left w:w="108" w:type="dxa"/>
            <w:bottom w:w="0" w:type="dxa"/>
            <w:right w:w="108" w:type="dxa"/>
          </w:tblCellMar>
        </w:tblPrEx>
        <w:trPr>
          <w:trHeight w:val="3406"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37592">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6F3AF">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双层床</w:t>
            </w:r>
          </w:p>
        </w:tc>
        <w:tc>
          <w:tcPr>
            <w:tcW w:w="22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96801">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670528" behindDoc="0" locked="0" layoutInCell="1" allowOverlap="1">
                  <wp:simplePos x="0" y="0"/>
                  <wp:positionH relativeFrom="column">
                    <wp:posOffset>44450</wp:posOffset>
                  </wp:positionH>
                  <wp:positionV relativeFrom="paragraph">
                    <wp:posOffset>368935</wp:posOffset>
                  </wp:positionV>
                  <wp:extent cx="1219200" cy="1166495"/>
                  <wp:effectExtent l="0" t="0" r="0" b="6985"/>
                  <wp:wrapNone/>
                  <wp:docPr id="53" name="图片_38"/>
                  <wp:cNvGraphicFramePr/>
                  <a:graphic xmlns:a="http://schemas.openxmlformats.org/drawingml/2006/main">
                    <a:graphicData uri="http://schemas.openxmlformats.org/drawingml/2006/picture">
                      <pic:pic xmlns:pic="http://schemas.openxmlformats.org/drawingml/2006/picture">
                        <pic:nvPicPr>
                          <pic:cNvPr id="53" name="图片_38"/>
                          <pic:cNvPicPr/>
                        </pic:nvPicPr>
                        <pic:blipFill>
                          <a:blip r:embed="rId17" cstate="print"/>
                          <a:stretch>
                            <a:fillRect/>
                          </a:stretch>
                        </pic:blipFill>
                        <pic:spPr>
                          <a:xfrm>
                            <a:off x="0" y="0"/>
                            <a:ext cx="1219200" cy="1166495"/>
                          </a:xfrm>
                          <a:prstGeom prst="rect">
                            <a:avLst/>
                          </a:prstGeom>
                          <a:noFill/>
                          <a:ln>
                            <a:noFill/>
                          </a:ln>
                        </pic:spPr>
                      </pic:pic>
                    </a:graphicData>
                  </a:graphic>
                </wp:anchor>
              </w:drawing>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86A4C">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2000*900*1750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E4931">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所有钢材均采用国家标准钢，高频焊接，各部件均经除锈、酸洗、磷化等工序，外表采用聚脂环氧粉末喷塑，颜色为灰白色，焊接表面波纹均匀，焊接处无夹渣，气孔、焊瘤，无脱焊、虚焊等现象。立柱：50方管（配15MM多层夹板床板）</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00004">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c>
          <w:tcPr>
            <w:tcW w:w="51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3847E3">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张</w:t>
            </w:r>
          </w:p>
        </w:tc>
      </w:tr>
      <w:tr w14:paraId="5D8F5DE8">
        <w:tblPrEx>
          <w:tblCellMar>
            <w:top w:w="0" w:type="dxa"/>
            <w:left w:w="108" w:type="dxa"/>
            <w:bottom w:w="0" w:type="dxa"/>
            <w:right w:w="108" w:type="dxa"/>
          </w:tblCellMar>
        </w:tblPrEx>
        <w:trPr>
          <w:trHeight w:val="3594"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EF7E2">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C38CE">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更衣柜1</w:t>
            </w:r>
          </w:p>
        </w:tc>
        <w:tc>
          <w:tcPr>
            <w:tcW w:w="22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BA0C8">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671552" behindDoc="0" locked="0" layoutInCell="1" allowOverlap="1">
                  <wp:simplePos x="0" y="0"/>
                  <wp:positionH relativeFrom="column">
                    <wp:posOffset>50800</wp:posOffset>
                  </wp:positionH>
                  <wp:positionV relativeFrom="paragraph">
                    <wp:posOffset>151765</wp:posOffset>
                  </wp:positionV>
                  <wp:extent cx="1097915" cy="1931035"/>
                  <wp:effectExtent l="0" t="0" r="14605" b="4445"/>
                  <wp:wrapNone/>
                  <wp:docPr id="39" name="图片_21"/>
                  <wp:cNvGraphicFramePr/>
                  <a:graphic xmlns:a="http://schemas.openxmlformats.org/drawingml/2006/main">
                    <a:graphicData uri="http://schemas.openxmlformats.org/drawingml/2006/picture">
                      <pic:pic xmlns:pic="http://schemas.openxmlformats.org/drawingml/2006/picture">
                        <pic:nvPicPr>
                          <pic:cNvPr id="39" name="图片_21"/>
                          <pic:cNvPicPr/>
                        </pic:nvPicPr>
                        <pic:blipFill>
                          <a:blip r:embed="rId18" cstate="print"/>
                          <a:stretch>
                            <a:fillRect/>
                          </a:stretch>
                        </pic:blipFill>
                        <pic:spPr>
                          <a:xfrm>
                            <a:off x="0" y="0"/>
                            <a:ext cx="1097915" cy="1931035"/>
                          </a:xfrm>
                          <a:prstGeom prst="rect">
                            <a:avLst/>
                          </a:prstGeom>
                          <a:noFill/>
                          <a:ln>
                            <a:noFill/>
                          </a:ln>
                        </pic:spPr>
                      </pic:pic>
                    </a:graphicData>
                  </a:graphic>
                </wp:anchor>
              </w:drawing>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8B7F1">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800*500*2600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C7060">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(1)面材:采用三聚氰氨板饰面 ，耐酸、耐碱、耐磨、防火。(2)基材:采用E1级优质环保多层夹板，符合国家环保标准，甲醛释放量&lt;0.124mg/m3。板材干燥处理至含水率&lt;10%，经高温防潮、防腐、防虫处理，耐久不变形。(3)封边用材:2.0mmPVC 同色封边，封边应严密、平整、不允许有脱胶表面有胶渍，采用热压工艺处理。(4)五金件:采用高品质品牌五金件，需作防锈、防腐处理。(5)粘合剂材:采用环保胶水。（顶层板25厘、其它18厘）</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5FF78">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w:t>
            </w:r>
          </w:p>
        </w:tc>
        <w:tc>
          <w:tcPr>
            <w:tcW w:w="51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A81E6E">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个</w:t>
            </w:r>
          </w:p>
        </w:tc>
      </w:tr>
      <w:tr w14:paraId="1732684B">
        <w:tblPrEx>
          <w:tblCellMar>
            <w:top w:w="0" w:type="dxa"/>
            <w:left w:w="108" w:type="dxa"/>
            <w:bottom w:w="0" w:type="dxa"/>
            <w:right w:w="108" w:type="dxa"/>
          </w:tblCellMar>
        </w:tblPrEx>
        <w:trPr>
          <w:trHeight w:val="3594"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B156D">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15F6E">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更衣柜2</w:t>
            </w:r>
          </w:p>
        </w:tc>
        <w:tc>
          <w:tcPr>
            <w:tcW w:w="22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731DF">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672576" behindDoc="0" locked="0" layoutInCell="1" allowOverlap="1">
                  <wp:simplePos x="0" y="0"/>
                  <wp:positionH relativeFrom="column">
                    <wp:posOffset>92075</wp:posOffset>
                  </wp:positionH>
                  <wp:positionV relativeFrom="paragraph">
                    <wp:posOffset>196850</wp:posOffset>
                  </wp:positionV>
                  <wp:extent cx="1096645" cy="1690370"/>
                  <wp:effectExtent l="0" t="0" r="635" b="1270"/>
                  <wp:wrapNone/>
                  <wp:docPr id="57" name="图片_24"/>
                  <wp:cNvGraphicFramePr/>
                  <a:graphic xmlns:a="http://schemas.openxmlformats.org/drawingml/2006/main">
                    <a:graphicData uri="http://schemas.openxmlformats.org/drawingml/2006/picture">
                      <pic:pic xmlns:pic="http://schemas.openxmlformats.org/drawingml/2006/picture">
                        <pic:nvPicPr>
                          <pic:cNvPr id="57" name="图片_24"/>
                          <pic:cNvPicPr/>
                        </pic:nvPicPr>
                        <pic:blipFill>
                          <a:blip r:embed="rId19" cstate="print"/>
                          <a:stretch>
                            <a:fillRect/>
                          </a:stretch>
                        </pic:blipFill>
                        <pic:spPr>
                          <a:xfrm>
                            <a:off x="0" y="0"/>
                            <a:ext cx="1096645" cy="1690370"/>
                          </a:xfrm>
                          <a:prstGeom prst="rect">
                            <a:avLst/>
                          </a:prstGeom>
                          <a:noFill/>
                          <a:ln>
                            <a:noFill/>
                          </a:ln>
                        </pic:spPr>
                      </pic:pic>
                    </a:graphicData>
                  </a:graphic>
                </wp:anchor>
              </w:drawing>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85D67">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1200*500*2600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37D9C">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(1)面材:采用三聚氰氨板饰面 ，耐酸、耐碱、耐磨、防火。(2)基材:采用E1级优质环保多层夹板，符合国家环保标准，甲醛释放量&lt;0.124mg/m3。板材干燥处理至含水率&lt;10%，经高温防潮、防腐、防虫处理，耐久不变形。(3)封边用材:2.0mmPVC 同色封边，封边应严密、平整、不允许有脱胶表面有胶渍，采用热压工艺处理。(4)五金件:采用高品质品牌五金件，需作防锈、防腐处理。(5)粘合剂材:采用环保胶水。（顶层板25厘、其它18厘）</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DF635">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51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BC7574">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个</w:t>
            </w:r>
          </w:p>
        </w:tc>
      </w:tr>
      <w:tr w14:paraId="4BDC0D5F">
        <w:tblPrEx>
          <w:tblCellMar>
            <w:top w:w="0" w:type="dxa"/>
            <w:left w:w="108" w:type="dxa"/>
            <w:bottom w:w="0" w:type="dxa"/>
            <w:right w:w="108" w:type="dxa"/>
          </w:tblCellMar>
        </w:tblPrEx>
        <w:trPr>
          <w:trHeight w:val="3677"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841C6">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16</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4AE7B">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储物柜</w:t>
            </w:r>
          </w:p>
        </w:tc>
        <w:tc>
          <w:tcPr>
            <w:tcW w:w="22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97EBC">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673600" behindDoc="0" locked="0" layoutInCell="1" allowOverlap="1">
                  <wp:simplePos x="0" y="0"/>
                  <wp:positionH relativeFrom="column">
                    <wp:posOffset>313055</wp:posOffset>
                  </wp:positionH>
                  <wp:positionV relativeFrom="paragraph">
                    <wp:posOffset>45720</wp:posOffset>
                  </wp:positionV>
                  <wp:extent cx="688340" cy="1810385"/>
                  <wp:effectExtent l="0" t="0" r="12700" b="3175"/>
                  <wp:wrapNone/>
                  <wp:docPr id="58" name="图片_32"/>
                  <wp:cNvGraphicFramePr/>
                  <a:graphic xmlns:a="http://schemas.openxmlformats.org/drawingml/2006/main">
                    <a:graphicData uri="http://schemas.openxmlformats.org/drawingml/2006/picture">
                      <pic:pic xmlns:pic="http://schemas.openxmlformats.org/drawingml/2006/picture">
                        <pic:nvPicPr>
                          <pic:cNvPr id="58" name="图片_32"/>
                          <pic:cNvPicPr/>
                        </pic:nvPicPr>
                        <pic:blipFill>
                          <a:blip r:embed="rId20" cstate="print"/>
                          <a:stretch>
                            <a:fillRect/>
                          </a:stretch>
                        </pic:blipFill>
                        <pic:spPr>
                          <a:xfrm>
                            <a:off x="0" y="0"/>
                            <a:ext cx="688340" cy="1810385"/>
                          </a:xfrm>
                          <a:prstGeom prst="rect">
                            <a:avLst/>
                          </a:prstGeom>
                          <a:noFill/>
                          <a:ln>
                            <a:noFill/>
                          </a:ln>
                        </pic:spPr>
                      </pic:pic>
                    </a:graphicData>
                  </a:graphic>
                </wp:anchor>
              </w:drawing>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BF94C">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800*500*2600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84A62">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(1)面材:采用三聚氰氨板饰面 ，耐酸、耐碱、耐磨、防火。(2)基材:采用E1级优质环保多层夹板，符合国家环保标准，甲醛释放量&lt;0.124mg/m3。板材干燥处理至含水率&lt;10%，经高温防潮、防腐、防虫处理，耐久不变形。(3)封边用材:2.0mmPVC 同色封边，封边应严密、平整、不允许有脱胶表面有胶渍，采用热压工艺处理。(4)五金件:采用高品质品牌五金件，需作防锈、防腐处理。(5)粘合剂材:采用环保胶水。（顶层板25厘、其它18厘）</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0DD35">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51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664F07">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个</w:t>
            </w:r>
          </w:p>
        </w:tc>
      </w:tr>
      <w:tr w14:paraId="7E465DA8">
        <w:tblPrEx>
          <w:tblCellMar>
            <w:top w:w="0" w:type="dxa"/>
            <w:left w:w="108" w:type="dxa"/>
            <w:bottom w:w="0" w:type="dxa"/>
            <w:right w:w="108" w:type="dxa"/>
          </w:tblCellMar>
        </w:tblPrEx>
        <w:trPr>
          <w:trHeight w:val="382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B9A51">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17</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A9544">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换鞋凳1</w:t>
            </w:r>
          </w:p>
        </w:tc>
        <w:tc>
          <w:tcPr>
            <w:tcW w:w="22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CA699">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674624" behindDoc="0" locked="0" layoutInCell="1" allowOverlap="1">
                  <wp:simplePos x="0" y="0"/>
                  <wp:positionH relativeFrom="column">
                    <wp:posOffset>33655</wp:posOffset>
                  </wp:positionH>
                  <wp:positionV relativeFrom="paragraph">
                    <wp:posOffset>-325755</wp:posOffset>
                  </wp:positionV>
                  <wp:extent cx="1240790" cy="1717675"/>
                  <wp:effectExtent l="0" t="0" r="8890" b="4445"/>
                  <wp:wrapNone/>
                  <wp:docPr id="47" name="图片_23"/>
                  <wp:cNvGraphicFramePr/>
                  <a:graphic xmlns:a="http://schemas.openxmlformats.org/drawingml/2006/main">
                    <a:graphicData uri="http://schemas.openxmlformats.org/drawingml/2006/picture">
                      <pic:pic xmlns:pic="http://schemas.openxmlformats.org/drawingml/2006/picture">
                        <pic:nvPicPr>
                          <pic:cNvPr id="47" name="图片_23"/>
                          <pic:cNvPicPr/>
                        </pic:nvPicPr>
                        <pic:blipFill>
                          <a:blip r:embed="rId21" cstate="print"/>
                          <a:stretch>
                            <a:fillRect/>
                          </a:stretch>
                        </pic:blipFill>
                        <pic:spPr>
                          <a:xfrm>
                            <a:off x="0" y="0"/>
                            <a:ext cx="1240790" cy="1717675"/>
                          </a:xfrm>
                          <a:prstGeom prst="rect">
                            <a:avLst/>
                          </a:prstGeom>
                          <a:noFill/>
                          <a:ln>
                            <a:noFill/>
                          </a:ln>
                        </pic:spPr>
                      </pic:pic>
                    </a:graphicData>
                  </a:graphic>
                </wp:anchor>
              </w:drawing>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E31DB">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850*400*450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7E5A8">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（1）面料：国产优质西皮面料，耐磨、透气，易清洁，皮面柔软舒适，坐感舒适；</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2.基材：优质E1级环保多层夹板，均经过防虫、防腐等化学处理，密度板之间用紧固体及强胶拼接。</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3.主要板材经检验符合GB18584-2001（室内装修材料-木家具中有害物质限量）强制性标准要求。</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4.五金件：采用进口五金配件，所有五金配件做防锈、防腐处理。（顶板25厘，其它18厘）</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CC2F8">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51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5DD7AA">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个</w:t>
            </w:r>
          </w:p>
        </w:tc>
      </w:tr>
      <w:tr w14:paraId="77C9E581">
        <w:tblPrEx>
          <w:tblCellMar>
            <w:top w:w="0" w:type="dxa"/>
            <w:left w:w="108" w:type="dxa"/>
            <w:bottom w:w="0" w:type="dxa"/>
            <w:right w:w="108" w:type="dxa"/>
          </w:tblCellMar>
        </w:tblPrEx>
        <w:trPr>
          <w:trHeight w:val="357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206DB">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18</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D5A9D">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换鞋凳2</w:t>
            </w:r>
          </w:p>
        </w:tc>
        <w:tc>
          <w:tcPr>
            <w:tcW w:w="22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F1976">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675648" behindDoc="0" locked="0" layoutInCell="1" allowOverlap="1">
                  <wp:simplePos x="0" y="0"/>
                  <wp:positionH relativeFrom="column">
                    <wp:posOffset>23495</wp:posOffset>
                  </wp:positionH>
                  <wp:positionV relativeFrom="paragraph">
                    <wp:posOffset>166370</wp:posOffset>
                  </wp:positionV>
                  <wp:extent cx="1247775" cy="1387475"/>
                  <wp:effectExtent l="0" t="0" r="1905" b="14605"/>
                  <wp:wrapNone/>
                  <wp:docPr id="59" name="图片_28"/>
                  <wp:cNvGraphicFramePr/>
                  <a:graphic xmlns:a="http://schemas.openxmlformats.org/drawingml/2006/main">
                    <a:graphicData uri="http://schemas.openxmlformats.org/drawingml/2006/picture">
                      <pic:pic xmlns:pic="http://schemas.openxmlformats.org/drawingml/2006/picture">
                        <pic:nvPicPr>
                          <pic:cNvPr id="59" name="图片_28"/>
                          <pic:cNvPicPr/>
                        </pic:nvPicPr>
                        <pic:blipFill>
                          <a:blip r:embed="rId22" cstate="print"/>
                          <a:stretch>
                            <a:fillRect/>
                          </a:stretch>
                        </pic:blipFill>
                        <pic:spPr>
                          <a:xfrm>
                            <a:off x="0" y="0"/>
                            <a:ext cx="1247775" cy="1387475"/>
                          </a:xfrm>
                          <a:prstGeom prst="rect">
                            <a:avLst/>
                          </a:prstGeom>
                          <a:noFill/>
                          <a:ln>
                            <a:noFill/>
                          </a:ln>
                        </pic:spPr>
                      </pic:pic>
                    </a:graphicData>
                  </a:graphic>
                </wp:anchor>
              </w:drawing>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6F39E">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850*400*450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D6C60">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（1）面料：国产优质西皮面料，耐磨、透气，易清洁，皮面柔软舒适，坐感舒适；</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2.基材：优质E1级环保多层夹板，均经过防虫、防腐等化学处理，密度板之间用紧固体及强胶拼接。</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3.主要板材经检验符合GB18584-2001（室内装修材料-木家具中有害物质限量）强制性标准要求。</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4.五金件：采用进口五金配件，所有五金配件做防锈、防腐处理。（顶板25厘，其它18厘）</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20153">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51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453DD6">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个</w:t>
            </w:r>
          </w:p>
        </w:tc>
      </w:tr>
      <w:tr w14:paraId="28175809">
        <w:tblPrEx>
          <w:tblCellMar>
            <w:top w:w="0" w:type="dxa"/>
            <w:left w:w="108" w:type="dxa"/>
            <w:bottom w:w="0" w:type="dxa"/>
            <w:right w:w="108" w:type="dxa"/>
          </w:tblCellMar>
        </w:tblPrEx>
        <w:trPr>
          <w:trHeight w:val="3594"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501B3">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19</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BEA49">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换鞋凳3</w:t>
            </w:r>
          </w:p>
        </w:tc>
        <w:tc>
          <w:tcPr>
            <w:tcW w:w="22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40DEA">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676672" behindDoc="0" locked="0" layoutInCell="1" allowOverlap="1">
                  <wp:simplePos x="0" y="0"/>
                  <wp:positionH relativeFrom="column">
                    <wp:posOffset>14605</wp:posOffset>
                  </wp:positionH>
                  <wp:positionV relativeFrom="paragraph">
                    <wp:posOffset>299720</wp:posOffset>
                  </wp:positionV>
                  <wp:extent cx="1252220" cy="1194435"/>
                  <wp:effectExtent l="0" t="0" r="12700" b="9525"/>
                  <wp:wrapNone/>
                  <wp:docPr id="40" name="图片_29"/>
                  <wp:cNvGraphicFramePr/>
                  <a:graphic xmlns:a="http://schemas.openxmlformats.org/drawingml/2006/main">
                    <a:graphicData uri="http://schemas.openxmlformats.org/drawingml/2006/picture">
                      <pic:pic xmlns:pic="http://schemas.openxmlformats.org/drawingml/2006/picture">
                        <pic:nvPicPr>
                          <pic:cNvPr id="40" name="图片_29"/>
                          <pic:cNvPicPr/>
                        </pic:nvPicPr>
                        <pic:blipFill>
                          <a:blip r:embed="rId23" cstate="print"/>
                          <a:stretch>
                            <a:fillRect/>
                          </a:stretch>
                        </pic:blipFill>
                        <pic:spPr>
                          <a:xfrm>
                            <a:off x="0" y="0"/>
                            <a:ext cx="1252220" cy="1194435"/>
                          </a:xfrm>
                          <a:prstGeom prst="rect">
                            <a:avLst/>
                          </a:prstGeom>
                          <a:noFill/>
                          <a:ln>
                            <a:noFill/>
                          </a:ln>
                        </pic:spPr>
                      </pic:pic>
                    </a:graphicData>
                  </a:graphic>
                </wp:anchor>
              </w:drawing>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374C3">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900*350*450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CFAAE">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（1）面料：国产优质西皮面料，耐磨、透气，易清洁，皮面柔软舒适，坐感舒适；</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2.基材：优质E1级环保多层夹板，均经过防虫、防腐等化学处理，密度板之间用紧固体及强胶拼接。</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3.主要板材经检验符合GB18584-2001（室内装修材料-木家具中有害物质限量）强制性标准要求。</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4.五金件：采用进口五金配件，所有五金配件做防锈、防腐处理。（顶板25厘，其它18厘）</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683B2">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51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884004">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个</w:t>
            </w:r>
          </w:p>
        </w:tc>
      </w:tr>
      <w:tr w14:paraId="028184A9">
        <w:tblPrEx>
          <w:tblCellMar>
            <w:top w:w="0" w:type="dxa"/>
            <w:left w:w="108" w:type="dxa"/>
            <w:bottom w:w="0" w:type="dxa"/>
            <w:right w:w="108" w:type="dxa"/>
          </w:tblCellMar>
        </w:tblPrEx>
        <w:trPr>
          <w:trHeight w:val="3698"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E0A45">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390D3">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办公桌</w:t>
            </w:r>
          </w:p>
        </w:tc>
        <w:tc>
          <w:tcPr>
            <w:tcW w:w="22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5ED50">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677696" behindDoc="0" locked="0" layoutInCell="1" allowOverlap="1">
                  <wp:simplePos x="0" y="0"/>
                  <wp:positionH relativeFrom="column">
                    <wp:posOffset>16510</wp:posOffset>
                  </wp:positionH>
                  <wp:positionV relativeFrom="paragraph">
                    <wp:posOffset>426085</wp:posOffset>
                  </wp:positionV>
                  <wp:extent cx="1263650" cy="1143000"/>
                  <wp:effectExtent l="0" t="0" r="1270" b="0"/>
                  <wp:wrapNone/>
                  <wp:docPr id="60" name="图片_2"/>
                  <wp:cNvGraphicFramePr/>
                  <a:graphic xmlns:a="http://schemas.openxmlformats.org/drawingml/2006/main">
                    <a:graphicData uri="http://schemas.openxmlformats.org/drawingml/2006/picture">
                      <pic:pic xmlns:pic="http://schemas.openxmlformats.org/drawingml/2006/picture">
                        <pic:nvPicPr>
                          <pic:cNvPr id="60" name="图片_2"/>
                          <pic:cNvPicPr/>
                        </pic:nvPicPr>
                        <pic:blipFill>
                          <a:blip r:embed="rId24" cstate="print"/>
                          <a:stretch>
                            <a:fillRect/>
                          </a:stretch>
                        </pic:blipFill>
                        <pic:spPr>
                          <a:xfrm>
                            <a:off x="0" y="0"/>
                            <a:ext cx="1263650" cy="1143000"/>
                          </a:xfrm>
                          <a:prstGeom prst="rect">
                            <a:avLst/>
                          </a:prstGeom>
                          <a:noFill/>
                          <a:ln>
                            <a:noFill/>
                          </a:ln>
                        </pic:spPr>
                      </pic:pic>
                    </a:graphicData>
                  </a:graphic>
                </wp:anchor>
              </w:drawing>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C2902">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1400*550*750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FD1C3">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(1)面材:采用三聚氰氨板饰面 ，耐酸、耐碱、耐磨、防火。(2)基材:采用E1级优质环保多层夹板，符合国家环保标准，甲醛释放量&lt;0.124mg/m3。板材干燥处理至含水率&lt;10%，经高温防潮、防腐、防虫处理，耐久不变形。(3)封边用材:2.0mmPVC 同色封边，封边应严密、平整、不允许有脱胶表面有胶渍，采用热压工艺处理。(4)五金件:采用高品质品牌五金件，需作防锈、防腐处理。(5)粘合剂材:采用环保胶水。</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14305">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51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A48D6E">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张</w:t>
            </w:r>
          </w:p>
        </w:tc>
      </w:tr>
      <w:tr w14:paraId="594FAD87">
        <w:tblPrEx>
          <w:tblCellMar>
            <w:top w:w="0" w:type="dxa"/>
            <w:left w:w="108" w:type="dxa"/>
            <w:bottom w:w="0" w:type="dxa"/>
            <w:right w:w="108" w:type="dxa"/>
          </w:tblCellMar>
        </w:tblPrEx>
        <w:trPr>
          <w:trHeight w:val="3802"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97B78">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21</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AB3D6">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接种台</w:t>
            </w:r>
          </w:p>
        </w:tc>
        <w:tc>
          <w:tcPr>
            <w:tcW w:w="22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979EC">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677696" behindDoc="0" locked="0" layoutInCell="1" allowOverlap="1">
                  <wp:simplePos x="0" y="0"/>
                  <wp:positionH relativeFrom="column">
                    <wp:posOffset>20955</wp:posOffset>
                  </wp:positionH>
                  <wp:positionV relativeFrom="paragraph">
                    <wp:posOffset>156210</wp:posOffset>
                  </wp:positionV>
                  <wp:extent cx="1280160" cy="1286510"/>
                  <wp:effectExtent l="0" t="0" r="0" b="8890"/>
                  <wp:wrapNone/>
                  <wp:docPr id="54" name="图片_5"/>
                  <wp:cNvGraphicFramePr/>
                  <a:graphic xmlns:a="http://schemas.openxmlformats.org/drawingml/2006/main">
                    <a:graphicData uri="http://schemas.openxmlformats.org/drawingml/2006/picture">
                      <pic:pic xmlns:pic="http://schemas.openxmlformats.org/drawingml/2006/picture">
                        <pic:nvPicPr>
                          <pic:cNvPr id="54" name="图片_5"/>
                          <pic:cNvPicPr/>
                        </pic:nvPicPr>
                        <pic:blipFill>
                          <a:blip r:embed="rId25" cstate="print"/>
                          <a:stretch>
                            <a:fillRect/>
                          </a:stretch>
                        </pic:blipFill>
                        <pic:spPr>
                          <a:xfrm>
                            <a:off x="0" y="0"/>
                            <a:ext cx="1280160" cy="1286510"/>
                          </a:xfrm>
                          <a:prstGeom prst="rect">
                            <a:avLst/>
                          </a:prstGeom>
                          <a:noFill/>
                          <a:ln>
                            <a:noFill/>
                          </a:ln>
                        </pic:spPr>
                      </pic:pic>
                    </a:graphicData>
                  </a:graphic>
                </wp:anchor>
              </w:drawing>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9A655">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2190*550*800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DA075">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（1）面料：国产优质西皮面料，耐磨、透气，易清洁，皮面柔软舒适，坐感舒适；</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2.基材：优质E1级环保多层夹板，均经过防虫、防腐等化学处理，密度板之间用紧固体及强胶拼接。</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3.主要板材经检验符合GB18584-2001（室内装修材料-木家具中有害物质限量）强制性标准要求。</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4.五金件：采用进口五金配件，所有五金配件做防锈、防腐处理。</w:t>
            </w:r>
          </w:p>
        </w:tc>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57B3E">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51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8FED9A">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张</w:t>
            </w:r>
          </w:p>
        </w:tc>
      </w:tr>
      <w:tr w14:paraId="3BB21C53">
        <w:tblPrEx>
          <w:tblCellMar>
            <w:top w:w="0" w:type="dxa"/>
            <w:left w:w="108" w:type="dxa"/>
            <w:bottom w:w="0" w:type="dxa"/>
            <w:right w:w="108" w:type="dxa"/>
          </w:tblCellMar>
        </w:tblPrEx>
        <w:trPr>
          <w:trHeight w:val="3656"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A35AB">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22</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E44F0">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垃圾储物柜</w:t>
            </w:r>
          </w:p>
        </w:tc>
        <w:tc>
          <w:tcPr>
            <w:tcW w:w="22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862AD">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678720" behindDoc="0" locked="0" layoutInCell="1" allowOverlap="1">
                  <wp:simplePos x="0" y="0"/>
                  <wp:positionH relativeFrom="column">
                    <wp:posOffset>123190</wp:posOffset>
                  </wp:positionH>
                  <wp:positionV relativeFrom="paragraph">
                    <wp:posOffset>128270</wp:posOffset>
                  </wp:positionV>
                  <wp:extent cx="1022985" cy="1175385"/>
                  <wp:effectExtent l="0" t="0" r="13335" b="13335"/>
                  <wp:wrapNone/>
                  <wp:docPr id="35" name="图片_42"/>
                  <wp:cNvGraphicFramePr/>
                  <a:graphic xmlns:a="http://schemas.openxmlformats.org/drawingml/2006/main">
                    <a:graphicData uri="http://schemas.openxmlformats.org/drawingml/2006/picture">
                      <pic:pic xmlns:pic="http://schemas.openxmlformats.org/drawingml/2006/picture">
                        <pic:nvPicPr>
                          <pic:cNvPr id="35" name="图片_42"/>
                          <pic:cNvPicPr/>
                        </pic:nvPicPr>
                        <pic:blipFill>
                          <a:blip r:embed="rId26" cstate="print"/>
                          <a:stretch>
                            <a:fillRect/>
                          </a:stretch>
                        </pic:blipFill>
                        <pic:spPr>
                          <a:xfrm>
                            <a:off x="0" y="0"/>
                            <a:ext cx="1022985" cy="1175385"/>
                          </a:xfrm>
                          <a:prstGeom prst="rect">
                            <a:avLst/>
                          </a:prstGeom>
                          <a:noFill/>
                          <a:ln>
                            <a:noFill/>
                          </a:ln>
                        </pic:spPr>
                      </pic:pic>
                    </a:graphicData>
                  </a:graphic>
                </wp:anchor>
              </w:drawing>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EAD2E">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600*250*520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2382B">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(1)面材:采用三聚氰氨板饰面 ，耐酸、耐碱、耐磨、防火。(2)基材:采用E1级优质环保多层夹板，符合国家环保标准，甲醛释放量&lt;0.124mg/m3。板材干燥处理至含水率&lt;10%，经高温防潮、防腐、防虫处理，耐久不变形。(3)封边用材:2.0mmPVC 同色封边，封边应严密、平整、不允许有脱胶表面有胶渍，采用热压工艺处理。(4)五金件:采用高品质品牌五金件，需作防锈、防腐处理。(5)粘合剂材:采用环保胶水。(柜底配4个带刹车轮）</w:t>
            </w:r>
          </w:p>
        </w:tc>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BED87">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4381F">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个</w:t>
            </w:r>
          </w:p>
        </w:tc>
      </w:tr>
      <w:tr w14:paraId="764424F3">
        <w:tblPrEx>
          <w:tblCellMar>
            <w:top w:w="0" w:type="dxa"/>
            <w:left w:w="108" w:type="dxa"/>
            <w:bottom w:w="0" w:type="dxa"/>
            <w:right w:w="108" w:type="dxa"/>
          </w:tblCellMar>
        </w:tblPrEx>
        <w:trPr>
          <w:trHeight w:val="3760"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074D5">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23</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F9D9E">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操作台</w:t>
            </w:r>
          </w:p>
        </w:tc>
        <w:tc>
          <w:tcPr>
            <w:tcW w:w="22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5301B">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679744" behindDoc="0" locked="0" layoutInCell="1" allowOverlap="1">
                  <wp:simplePos x="0" y="0"/>
                  <wp:positionH relativeFrom="column">
                    <wp:posOffset>-24130</wp:posOffset>
                  </wp:positionH>
                  <wp:positionV relativeFrom="paragraph">
                    <wp:posOffset>360045</wp:posOffset>
                  </wp:positionV>
                  <wp:extent cx="1353185" cy="1161415"/>
                  <wp:effectExtent l="0" t="0" r="3175" b="12065"/>
                  <wp:wrapNone/>
                  <wp:docPr id="41" name="图片_30"/>
                  <wp:cNvGraphicFramePr/>
                  <a:graphic xmlns:a="http://schemas.openxmlformats.org/drawingml/2006/main">
                    <a:graphicData uri="http://schemas.openxmlformats.org/drawingml/2006/picture">
                      <pic:pic xmlns:pic="http://schemas.openxmlformats.org/drawingml/2006/picture">
                        <pic:nvPicPr>
                          <pic:cNvPr id="41" name="图片_30"/>
                          <pic:cNvPicPr/>
                        </pic:nvPicPr>
                        <pic:blipFill>
                          <a:blip r:embed="rId27" cstate="print"/>
                          <a:stretch>
                            <a:fillRect/>
                          </a:stretch>
                        </pic:blipFill>
                        <pic:spPr>
                          <a:xfrm>
                            <a:off x="0" y="0"/>
                            <a:ext cx="1353185" cy="1161415"/>
                          </a:xfrm>
                          <a:prstGeom prst="rect">
                            <a:avLst/>
                          </a:prstGeom>
                          <a:noFill/>
                          <a:ln>
                            <a:noFill/>
                          </a:ln>
                        </pic:spPr>
                      </pic:pic>
                    </a:graphicData>
                  </a:graphic>
                </wp:anchor>
              </w:drawing>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7D447">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3100*800*850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B6444">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材质：0.8mm厚一级优质电解钢板，防潮防水，经久耐用，1.0mm厚304#不锈钢踢脚线，底座前端内缩25mm，无触脚感，高度为150mm。12mm厚复亚克力医用人造大理石台面，无缝拼接，防渗易清洁，满足院感需求，金属表面进口抑菌粉末静电喷涂；</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2、配件：一字成型拉手、304缓冲阻尼铰链、标签卡槽、地柜一件活动层板；</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3、配置：复亚克力人造石+地柜+1个婴儿洗澡盆+1个婴儿游泳盆+2套恒温可抽拉式花洒。</w:t>
            </w:r>
          </w:p>
        </w:tc>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7CC6B">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51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8563E2">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组</w:t>
            </w:r>
          </w:p>
        </w:tc>
      </w:tr>
      <w:tr w14:paraId="5321595F">
        <w:tblPrEx>
          <w:tblCellMar>
            <w:top w:w="0" w:type="dxa"/>
            <w:left w:w="108" w:type="dxa"/>
            <w:bottom w:w="0" w:type="dxa"/>
            <w:right w:w="108" w:type="dxa"/>
          </w:tblCellMar>
        </w:tblPrEx>
        <w:trPr>
          <w:trHeight w:val="3594"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DA2E7">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24</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0B1E1">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操作台</w:t>
            </w:r>
          </w:p>
        </w:tc>
        <w:tc>
          <w:tcPr>
            <w:tcW w:w="22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DAA6C">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680768" behindDoc="0" locked="0" layoutInCell="1" allowOverlap="1">
                  <wp:simplePos x="0" y="0"/>
                  <wp:positionH relativeFrom="column">
                    <wp:posOffset>28575</wp:posOffset>
                  </wp:positionH>
                  <wp:positionV relativeFrom="paragraph">
                    <wp:posOffset>-338455</wp:posOffset>
                  </wp:positionV>
                  <wp:extent cx="1293495" cy="1129030"/>
                  <wp:effectExtent l="0" t="0" r="1905" b="13970"/>
                  <wp:wrapNone/>
                  <wp:docPr id="42" name="图片_20"/>
                  <wp:cNvGraphicFramePr/>
                  <a:graphic xmlns:a="http://schemas.openxmlformats.org/drawingml/2006/main">
                    <a:graphicData uri="http://schemas.openxmlformats.org/drawingml/2006/picture">
                      <pic:pic xmlns:pic="http://schemas.openxmlformats.org/drawingml/2006/picture">
                        <pic:nvPicPr>
                          <pic:cNvPr id="42" name="图片_20"/>
                          <pic:cNvPicPr/>
                        </pic:nvPicPr>
                        <pic:blipFill>
                          <a:blip r:embed="rId28" cstate="print"/>
                          <a:stretch>
                            <a:fillRect/>
                          </a:stretch>
                        </pic:blipFill>
                        <pic:spPr>
                          <a:xfrm>
                            <a:off x="0" y="0"/>
                            <a:ext cx="1293495" cy="1129030"/>
                          </a:xfrm>
                          <a:prstGeom prst="rect">
                            <a:avLst/>
                          </a:prstGeom>
                          <a:noFill/>
                          <a:ln>
                            <a:noFill/>
                          </a:ln>
                        </pic:spPr>
                      </pic:pic>
                    </a:graphicData>
                  </a:graphic>
                </wp:anchor>
              </w:drawing>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A081B">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3100*800*850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71495">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材质：0.8mm厚一级优质电解钢板，防潮防水，经久耐用，1.0mm厚304#不锈钢踢脚线，底座前端内缩25mm，无触脚感，高度为150mm。12mm厚复亚克力医用人造大理石台面，无缝拼接，防渗易清洁，满足院感需求，金属表面进口抑菌粉末静电喷涂；</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2、配件：一字成型拉手、304缓冲阻尼铰链、标签卡槽、地柜一件活动层板；</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3、配置：复亚克力人造石+地柜++50mm护理软包（西皮）。</w:t>
            </w:r>
          </w:p>
        </w:tc>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F0DB3">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51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FABD86">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组</w:t>
            </w:r>
          </w:p>
        </w:tc>
      </w:tr>
      <w:tr w14:paraId="4B0B8D7C">
        <w:tblPrEx>
          <w:tblCellMar>
            <w:top w:w="0" w:type="dxa"/>
            <w:left w:w="108" w:type="dxa"/>
            <w:bottom w:w="0" w:type="dxa"/>
            <w:right w:w="108" w:type="dxa"/>
          </w:tblCellMar>
        </w:tblPrEx>
        <w:trPr>
          <w:trHeight w:val="1364"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6FD11">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25</w:t>
            </w:r>
          </w:p>
        </w:tc>
        <w:tc>
          <w:tcPr>
            <w:tcW w:w="9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C23BA">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货架</w:t>
            </w:r>
          </w:p>
        </w:tc>
        <w:tc>
          <w:tcPr>
            <w:tcW w:w="228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597B1">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681792" behindDoc="0" locked="0" layoutInCell="1" allowOverlap="1">
                  <wp:simplePos x="0" y="0"/>
                  <wp:positionH relativeFrom="column">
                    <wp:posOffset>24765</wp:posOffset>
                  </wp:positionH>
                  <wp:positionV relativeFrom="paragraph">
                    <wp:posOffset>496570</wp:posOffset>
                  </wp:positionV>
                  <wp:extent cx="1245870" cy="1689735"/>
                  <wp:effectExtent l="0" t="0" r="3810" b="1905"/>
                  <wp:wrapNone/>
                  <wp:docPr id="36" name="图片_9"/>
                  <wp:cNvGraphicFramePr/>
                  <a:graphic xmlns:a="http://schemas.openxmlformats.org/drawingml/2006/main">
                    <a:graphicData uri="http://schemas.openxmlformats.org/drawingml/2006/picture">
                      <pic:pic xmlns:pic="http://schemas.openxmlformats.org/drawingml/2006/picture">
                        <pic:nvPicPr>
                          <pic:cNvPr id="36" name="图片_9"/>
                          <pic:cNvPicPr/>
                        </pic:nvPicPr>
                        <pic:blipFill>
                          <a:blip r:embed="rId29" cstate="print"/>
                          <a:stretch>
                            <a:fillRect/>
                          </a:stretch>
                        </pic:blipFill>
                        <pic:spPr>
                          <a:xfrm>
                            <a:off x="0" y="0"/>
                            <a:ext cx="1245870" cy="1689735"/>
                          </a:xfrm>
                          <a:prstGeom prst="rect">
                            <a:avLst/>
                          </a:prstGeom>
                          <a:noFill/>
                          <a:ln>
                            <a:noFill/>
                          </a:ln>
                        </pic:spPr>
                      </pic:pic>
                    </a:graphicData>
                  </a:graphic>
                </wp:anchor>
              </w:drawing>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12693">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1270*500*2000</w:t>
            </w:r>
          </w:p>
        </w:tc>
        <w:tc>
          <w:tcPr>
            <w:tcW w:w="32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F60CEA">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1.采用立柱1.2m ，层板0.8mm优质冷轧钢板，2.工艺：酸洗、磷化、防锈处理,表面采用新西兰进口混合型热固性粉沫喷涂，耐高温，防静，折弯工艺均匀平整，各部位连接位之间无裂缝、脱焊、焊瘤等，美观、坚固、耐用.层板为可调节层板。</w:t>
            </w:r>
          </w:p>
        </w:tc>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688DF">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c>
          <w:tcPr>
            <w:tcW w:w="51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E67D63">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个</w:t>
            </w:r>
          </w:p>
        </w:tc>
      </w:tr>
      <w:tr w14:paraId="36A02419">
        <w:tblPrEx>
          <w:tblCellMar>
            <w:top w:w="0" w:type="dxa"/>
            <w:left w:w="108" w:type="dxa"/>
            <w:bottom w:w="0" w:type="dxa"/>
            <w:right w:w="108" w:type="dxa"/>
          </w:tblCellMar>
        </w:tblPrEx>
        <w:trPr>
          <w:trHeight w:val="1364"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F7019">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26</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0699A">
            <w:pPr>
              <w:jc w:val="center"/>
              <w:rPr>
                <w:rFonts w:ascii="宋体" w:hAnsi="宋体" w:eastAsia="宋体" w:cs="宋体"/>
                <w:color w:val="000000"/>
                <w:sz w:val="18"/>
                <w:szCs w:val="18"/>
              </w:rPr>
            </w:pPr>
          </w:p>
        </w:tc>
        <w:tc>
          <w:tcPr>
            <w:tcW w:w="22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7F9DB">
            <w:pPr>
              <w:jc w:val="center"/>
              <w:rPr>
                <w:rFonts w:ascii="宋体" w:hAnsi="宋体" w:eastAsia="宋体" w:cs="宋体"/>
                <w:color w:val="000000"/>
                <w:sz w:val="18"/>
                <w:szCs w:val="18"/>
              </w:rPr>
            </w:pP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3D4CA">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1300*500*2000</w:t>
            </w:r>
          </w:p>
        </w:tc>
        <w:tc>
          <w:tcPr>
            <w:tcW w:w="32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EC9CD7">
            <w:pPr>
              <w:jc w:val="left"/>
              <w:rPr>
                <w:rFonts w:ascii="宋体" w:hAnsi="宋体" w:eastAsia="宋体" w:cs="宋体"/>
                <w:color w:val="000000"/>
                <w:sz w:val="18"/>
                <w:szCs w:val="18"/>
              </w:rPr>
            </w:pPr>
          </w:p>
        </w:tc>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5EDF6">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c>
          <w:tcPr>
            <w:tcW w:w="51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FF3211">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个</w:t>
            </w:r>
          </w:p>
        </w:tc>
      </w:tr>
      <w:tr w14:paraId="1EC0C86F">
        <w:tblPrEx>
          <w:tblCellMar>
            <w:top w:w="0" w:type="dxa"/>
            <w:left w:w="108" w:type="dxa"/>
            <w:bottom w:w="0" w:type="dxa"/>
            <w:right w:w="108" w:type="dxa"/>
          </w:tblCellMar>
        </w:tblPrEx>
        <w:trPr>
          <w:trHeight w:val="1364"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14205">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27</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21776">
            <w:pPr>
              <w:jc w:val="center"/>
              <w:rPr>
                <w:rFonts w:ascii="宋体" w:hAnsi="宋体" w:eastAsia="宋体" w:cs="宋体"/>
                <w:color w:val="000000"/>
                <w:sz w:val="18"/>
                <w:szCs w:val="18"/>
              </w:rPr>
            </w:pPr>
          </w:p>
        </w:tc>
        <w:tc>
          <w:tcPr>
            <w:tcW w:w="22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B0838">
            <w:pPr>
              <w:jc w:val="center"/>
              <w:rPr>
                <w:rFonts w:ascii="宋体" w:hAnsi="宋体" w:eastAsia="宋体" w:cs="宋体"/>
                <w:color w:val="000000"/>
                <w:sz w:val="18"/>
                <w:szCs w:val="18"/>
              </w:rPr>
            </w:pP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606A0">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1190*500*2000</w:t>
            </w:r>
          </w:p>
        </w:tc>
        <w:tc>
          <w:tcPr>
            <w:tcW w:w="32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37CCFD">
            <w:pPr>
              <w:jc w:val="left"/>
              <w:rPr>
                <w:rFonts w:ascii="宋体" w:hAnsi="宋体" w:eastAsia="宋体" w:cs="宋体"/>
                <w:color w:val="000000"/>
                <w:sz w:val="18"/>
                <w:szCs w:val="18"/>
              </w:rPr>
            </w:pPr>
          </w:p>
        </w:tc>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116E3">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c>
          <w:tcPr>
            <w:tcW w:w="51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49BC47">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个</w:t>
            </w:r>
          </w:p>
        </w:tc>
      </w:tr>
      <w:tr w14:paraId="13ED7746">
        <w:tblPrEx>
          <w:tblCellMar>
            <w:top w:w="0" w:type="dxa"/>
            <w:left w:w="108" w:type="dxa"/>
            <w:bottom w:w="0" w:type="dxa"/>
            <w:right w:w="108" w:type="dxa"/>
          </w:tblCellMar>
        </w:tblPrEx>
        <w:trPr>
          <w:trHeight w:val="357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3E82E">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28</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C7C2E">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储物柜</w:t>
            </w:r>
          </w:p>
        </w:tc>
        <w:tc>
          <w:tcPr>
            <w:tcW w:w="22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73289">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682816" behindDoc="0" locked="0" layoutInCell="1" allowOverlap="1">
                  <wp:simplePos x="0" y="0"/>
                  <wp:positionH relativeFrom="column">
                    <wp:posOffset>238125</wp:posOffset>
                  </wp:positionH>
                  <wp:positionV relativeFrom="paragraph">
                    <wp:posOffset>194310</wp:posOffset>
                  </wp:positionV>
                  <wp:extent cx="785495" cy="1790065"/>
                  <wp:effectExtent l="0" t="0" r="6985" b="8255"/>
                  <wp:wrapNone/>
                  <wp:docPr id="38" name="图片_10"/>
                  <wp:cNvGraphicFramePr/>
                  <a:graphic xmlns:a="http://schemas.openxmlformats.org/drawingml/2006/main">
                    <a:graphicData uri="http://schemas.openxmlformats.org/drawingml/2006/picture">
                      <pic:pic xmlns:pic="http://schemas.openxmlformats.org/drawingml/2006/picture">
                        <pic:nvPicPr>
                          <pic:cNvPr id="38" name="图片_10"/>
                          <pic:cNvPicPr/>
                        </pic:nvPicPr>
                        <pic:blipFill>
                          <a:blip r:embed="rId30" cstate="print"/>
                          <a:stretch>
                            <a:fillRect/>
                          </a:stretch>
                        </pic:blipFill>
                        <pic:spPr>
                          <a:xfrm>
                            <a:off x="0" y="0"/>
                            <a:ext cx="785495" cy="1790065"/>
                          </a:xfrm>
                          <a:prstGeom prst="rect">
                            <a:avLst/>
                          </a:prstGeom>
                          <a:noFill/>
                          <a:ln>
                            <a:noFill/>
                          </a:ln>
                        </pic:spPr>
                      </pic:pic>
                    </a:graphicData>
                  </a:graphic>
                </wp:anchor>
              </w:drawing>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3FA95">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830*600*2600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EF9DF">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(1)面材:采用三聚氰氨板饰面 ，耐酸、耐碱、耐磨、防火。(2)基材:采用E1级优质环保多层夹板，符合国家环保标准，甲醛释放量&lt;0.124mg/m3。板材干燥处理至含水率&lt;10%，经高温防潮、防腐、防虫处理，耐久不变形。(3)封边用材:2.0mmPVC 同色封边，封边应严密、平整、不允许有脱胶表面有胶渍，采用热压工艺处理。(4)五金件:采用高品质品牌五金件，需作防锈、防腐处理。(5)粘合剂材:采用环保胶水。（顶层板25厘、其它18厘）</w:t>
            </w:r>
          </w:p>
        </w:tc>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D7D6D">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c>
          <w:tcPr>
            <w:tcW w:w="51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D9D2F9">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个</w:t>
            </w:r>
          </w:p>
        </w:tc>
      </w:tr>
      <w:tr w14:paraId="013757DA">
        <w:tblPrEx>
          <w:tblCellMar>
            <w:top w:w="0" w:type="dxa"/>
            <w:left w:w="108" w:type="dxa"/>
            <w:bottom w:w="0" w:type="dxa"/>
            <w:right w:w="108" w:type="dxa"/>
          </w:tblCellMar>
        </w:tblPrEx>
        <w:trPr>
          <w:trHeight w:val="3585"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1171C">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29</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D6016">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储物柜</w:t>
            </w:r>
          </w:p>
        </w:tc>
        <w:tc>
          <w:tcPr>
            <w:tcW w:w="22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9D625">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683840" behindDoc="0" locked="0" layoutInCell="1" allowOverlap="1">
                  <wp:simplePos x="0" y="0"/>
                  <wp:positionH relativeFrom="column">
                    <wp:posOffset>264160</wp:posOffset>
                  </wp:positionH>
                  <wp:positionV relativeFrom="paragraph">
                    <wp:posOffset>156210</wp:posOffset>
                  </wp:positionV>
                  <wp:extent cx="829945" cy="1707515"/>
                  <wp:effectExtent l="0" t="0" r="8255" b="14605"/>
                  <wp:wrapNone/>
                  <wp:docPr id="48" name="图片_11"/>
                  <wp:cNvGraphicFramePr/>
                  <a:graphic xmlns:a="http://schemas.openxmlformats.org/drawingml/2006/main">
                    <a:graphicData uri="http://schemas.openxmlformats.org/drawingml/2006/picture">
                      <pic:pic xmlns:pic="http://schemas.openxmlformats.org/drawingml/2006/picture">
                        <pic:nvPicPr>
                          <pic:cNvPr id="48" name="图片_11"/>
                          <pic:cNvPicPr/>
                        </pic:nvPicPr>
                        <pic:blipFill>
                          <a:blip r:embed="rId31" cstate="print"/>
                          <a:stretch>
                            <a:fillRect/>
                          </a:stretch>
                        </pic:blipFill>
                        <pic:spPr>
                          <a:xfrm>
                            <a:off x="0" y="0"/>
                            <a:ext cx="829945" cy="1707515"/>
                          </a:xfrm>
                          <a:prstGeom prst="rect">
                            <a:avLst/>
                          </a:prstGeom>
                          <a:noFill/>
                          <a:ln>
                            <a:noFill/>
                          </a:ln>
                        </pic:spPr>
                      </pic:pic>
                    </a:graphicData>
                  </a:graphic>
                </wp:anchor>
              </w:drawing>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E5BC7">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830*600*2600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FC75C">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(1)面材:采用三聚氰氨板饰面 ，耐酸、耐碱、耐磨、防火。(2)基材:采用E1级优质环保多层夹板，符合国家环保标准，甲醛释放量&lt;0.124mg/m3。板材干燥处理至含水率&lt;10%，经高温防潮、防腐、防虫处理，耐久不变形。(3)封边用材:2.0mmPVC 同色封边，封边应严密、平整、不允许有脱胶表面有胶渍，采用热压工艺处理。(4)五金件:采用高品质品牌五金件，需作防锈、防腐处理。(5)粘合剂材:采用环保胶水。（中间加中竖板）（顶层板25厘、其它18厘）</w:t>
            </w:r>
          </w:p>
        </w:tc>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7FFA2">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51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E73549">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个</w:t>
            </w:r>
          </w:p>
        </w:tc>
      </w:tr>
      <w:tr w14:paraId="120106C5">
        <w:tblPrEx>
          <w:tblCellMar>
            <w:top w:w="0" w:type="dxa"/>
            <w:left w:w="108" w:type="dxa"/>
            <w:bottom w:w="0" w:type="dxa"/>
            <w:right w:w="108" w:type="dxa"/>
          </w:tblCellMar>
        </w:tblPrEx>
        <w:trPr>
          <w:trHeight w:val="3656"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D6BCF">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5761C">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办公桌/书桌</w:t>
            </w:r>
          </w:p>
        </w:tc>
        <w:tc>
          <w:tcPr>
            <w:tcW w:w="22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B8504">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684864" behindDoc="0" locked="0" layoutInCell="1" allowOverlap="1">
                  <wp:simplePos x="0" y="0"/>
                  <wp:positionH relativeFrom="column">
                    <wp:posOffset>212090</wp:posOffset>
                  </wp:positionH>
                  <wp:positionV relativeFrom="paragraph">
                    <wp:posOffset>221615</wp:posOffset>
                  </wp:positionV>
                  <wp:extent cx="918845" cy="1823720"/>
                  <wp:effectExtent l="0" t="0" r="10795" b="5080"/>
                  <wp:wrapNone/>
                  <wp:docPr id="51" name="图片_14"/>
                  <wp:cNvGraphicFramePr/>
                  <a:graphic xmlns:a="http://schemas.openxmlformats.org/drawingml/2006/main">
                    <a:graphicData uri="http://schemas.openxmlformats.org/drawingml/2006/picture">
                      <pic:pic xmlns:pic="http://schemas.openxmlformats.org/drawingml/2006/picture">
                        <pic:nvPicPr>
                          <pic:cNvPr id="51" name="图片_14"/>
                          <pic:cNvPicPr/>
                        </pic:nvPicPr>
                        <pic:blipFill>
                          <a:blip r:embed="rId32" cstate="print"/>
                          <a:stretch>
                            <a:fillRect/>
                          </a:stretch>
                        </pic:blipFill>
                        <pic:spPr>
                          <a:xfrm>
                            <a:off x="0" y="0"/>
                            <a:ext cx="918845" cy="1823720"/>
                          </a:xfrm>
                          <a:prstGeom prst="rect">
                            <a:avLst/>
                          </a:prstGeom>
                          <a:noFill/>
                          <a:ln>
                            <a:noFill/>
                          </a:ln>
                        </pic:spPr>
                      </pic:pic>
                    </a:graphicData>
                  </a:graphic>
                </wp:anchor>
              </w:drawing>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5517F">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1000*600*2600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E996D">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(1)面材:采用三聚氰氨板饰面 ，耐酸、耐碱、耐磨、防火。(2)基材:采用E1级优质环保多层夹板，符合国家环保标准，甲醛释放量&lt;0.124mg/m3。板材干燥处理至含水率&lt;10%，经高温防潮、防腐、防虫处理，耐久不变形。(3)封边用材:2.0mmPVC 同色封边，封边应严密、平整、不允许有脱胶表面有胶渍，采用热压工艺处理。(4)五金件:采用高品质品牌五金件，需作防锈、防腐处理。(5)粘合剂材:采用环保胶水。（配置键盘架，主机架）</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D2B03">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DBCF4">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张</w:t>
            </w:r>
          </w:p>
        </w:tc>
      </w:tr>
      <w:tr w14:paraId="50B9DF34">
        <w:tblPrEx>
          <w:tblCellMar>
            <w:top w:w="0" w:type="dxa"/>
            <w:left w:w="108" w:type="dxa"/>
            <w:bottom w:w="0" w:type="dxa"/>
            <w:right w:w="108" w:type="dxa"/>
          </w:tblCellMar>
        </w:tblPrEx>
        <w:trPr>
          <w:trHeight w:val="1760"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9C372">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31</w:t>
            </w:r>
          </w:p>
        </w:tc>
        <w:tc>
          <w:tcPr>
            <w:tcW w:w="9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D0523A">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沙发床</w:t>
            </w:r>
          </w:p>
        </w:tc>
        <w:tc>
          <w:tcPr>
            <w:tcW w:w="228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3F2F9">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685888" behindDoc="0" locked="0" layoutInCell="1" allowOverlap="1">
                  <wp:simplePos x="0" y="0"/>
                  <wp:positionH relativeFrom="column">
                    <wp:posOffset>185420</wp:posOffset>
                  </wp:positionH>
                  <wp:positionV relativeFrom="paragraph">
                    <wp:posOffset>102235</wp:posOffset>
                  </wp:positionV>
                  <wp:extent cx="1022985" cy="924560"/>
                  <wp:effectExtent l="0" t="0" r="13335" b="5080"/>
                  <wp:wrapNone/>
                  <wp:docPr id="52" name="图片_13"/>
                  <wp:cNvGraphicFramePr/>
                  <a:graphic xmlns:a="http://schemas.openxmlformats.org/drawingml/2006/main">
                    <a:graphicData uri="http://schemas.openxmlformats.org/drawingml/2006/picture">
                      <pic:pic xmlns:pic="http://schemas.openxmlformats.org/drawingml/2006/picture">
                        <pic:nvPicPr>
                          <pic:cNvPr id="52" name="图片_13"/>
                          <pic:cNvPicPr/>
                        </pic:nvPicPr>
                        <pic:blipFill>
                          <a:blip r:embed="rId33" cstate="print"/>
                          <a:stretch>
                            <a:fillRect/>
                          </a:stretch>
                        </pic:blipFill>
                        <pic:spPr>
                          <a:xfrm>
                            <a:off x="0" y="0"/>
                            <a:ext cx="1022985" cy="924560"/>
                          </a:xfrm>
                          <a:prstGeom prst="rect">
                            <a:avLst/>
                          </a:prstGeom>
                          <a:noFill/>
                          <a:ln>
                            <a:noFill/>
                          </a:ln>
                        </pic:spPr>
                      </pic:pic>
                    </a:graphicData>
                  </a:graphic>
                </wp:anchor>
              </w:drawing>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67DEA">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1000*800*820</w:t>
            </w:r>
          </w:p>
        </w:tc>
        <w:tc>
          <w:tcPr>
            <w:tcW w:w="32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612AB3">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面料：国产优质猫抓皮面料，耐磨、透气，易清洁，皮面柔软舒适，坐感舒适；（2）基材：优质实木框架，材质坚硬钢性强，承托力不小于250KG，含水率低于9%，经防腐、防虫、防潮等技术处理；采用55﹟高密度海棉，耐久不变形，高回弹，耐冲击。（3）五金件：采用优质五金配件；所有五金配件均做防锈、防腐处理。</w:t>
            </w:r>
          </w:p>
        </w:tc>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0CDAB">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w:t>
            </w:r>
          </w:p>
        </w:tc>
        <w:tc>
          <w:tcPr>
            <w:tcW w:w="51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860431">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张</w:t>
            </w:r>
          </w:p>
        </w:tc>
      </w:tr>
      <w:tr w14:paraId="0B2A3A0F">
        <w:tblPrEx>
          <w:tblCellMar>
            <w:top w:w="0" w:type="dxa"/>
            <w:left w:w="108" w:type="dxa"/>
            <w:bottom w:w="0" w:type="dxa"/>
            <w:right w:w="108" w:type="dxa"/>
          </w:tblCellMar>
        </w:tblPrEx>
        <w:trPr>
          <w:trHeight w:val="1760"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A2982">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32</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CCE2D1">
            <w:pPr>
              <w:jc w:val="center"/>
              <w:rPr>
                <w:rFonts w:ascii="宋体" w:hAnsi="宋体" w:eastAsia="宋体" w:cs="宋体"/>
                <w:color w:val="000000"/>
                <w:sz w:val="18"/>
                <w:szCs w:val="18"/>
              </w:rPr>
            </w:pPr>
          </w:p>
        </w:tc>
        <w:tc>
          <w:tcPr>
            <w:tcW w:w="22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CE13C">
            <w:pPr>
              <w:jc w:val="center"/>
              <w:rPr>
                <w:rFonts w:ascii="宋体" w:hAnsi="宋体" w:eastAsia="宋体" w:cs="宋体"/>
                <w:color w:val="000000"/>
                <w:sz w:val="18"/>
                <w:szCs w:val="18"/>
              </w:rPr>
            </w:pP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65642">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693056" behindDoc="0" locked="0" layoutInCell="1" allowOverlap="1">
                  <wp:simplePos x="0" y="0"/>
                  <wp:positionH relativeFrom="column">
                    <wp:posOffset>-1326515</wp:posOffset>
                  </wp:positionH>
                  <wp:positionV relativeFrom="paragraph">
                    <wp:posOffset>59055</wp:posOffset>
                  </wp:positionV>
                  <wp:extent cx="1022985" cy="924560"/>
                  <wp:effectExtent l="0" t="0" r="13335" b="5080"/>
                  <wp:wrapNone/>
                  <wp:docPr id="69" name="图片_13"/>
                  <wp:cNvGraphicFramePr/>
                  <a:graphic xmlns:a="http://schemas.openxmlformats.org/drawingml/2006/main">
                    <a:graphicData uri="http://schemas.openxmlformats.org/drawingml/2006/picture">
                      <pic:pic xmlns:pic="http://schemas.openxmlformats.org/drawingml/2006/picture">
                        <pic:nvPicPr>
                          <pic:cNvPr id="69" name="图片_13"/>
                          <pic:cNvPicPr/>
                        </pic:nvPicPr>
                        <pic:blipFill>
                          <a:blip r:embed="rId33" cstate="print"/>
                          <a:stretch>
                            <a:fillRect/>
                          </a:stretch>
                        </pic:blipFill>
                        <pic:spPr>
                          <a:xfrm>
                            <a:off x="0" y="0"/>
                            <a:ext cx="1022985" cy="924560"/>
                          </a:xfrm>
                          <a:prstGeom prst="rect">
                            <a:avLst/>
                          </a:prstGeom>
                          <a:noFill/>
                          <a:ln>
                            <a:noFill/>
                          </a:ln>
                        </pic:spPr>
                      </pic:pic>
                    </a:graphicData>
                  </a:graphic>
                </wp:anchor>
              </w:drawing>
            </w:r>
          </w:p>
          <w:p w14:paraId="1E1A16E6">
            <w:pPr>
              <w:widowControl/>
              <w:jc w:val="center"/>
              <w:textAlignment w:val="center"/>
              <w:rPr>
                <w:rFonts w:ascii="宋体" w:hAnsi="宋体" w:eastAsia="宋体" w:cs="宋体"/>
                <w:color w:val="000000"/>
                <w:kern w:val="0"/>
                <w:sz w:val="18"/>
                <w:szCs w:val="18"/>
              </w:rPr>
            </w:pPr>
          </w:p>
          <w:p w14:paraId="200C8A7E">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1500*800*820</w:t>
            </w:r>
          </w:p>
        </w:tc>
        <w:tc>
          <w:tcPr>
            <w:tcW w:w="32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8F0E2C">
            <w:pPr>
              <w:jc w:val="left"/>
              <w:rPr>
                <w:rFonts w:ascii="宋体" w:hAnsi="宋体" w:eastAsia="宋体" w:cs="宋体"/>
                <w:color w:val="000000"/>
                <w:sz w:val="18"/>
                <w:szCs w:val="18"/>
              </w:rPr>
            </w:pPr>
          </w:p>
        </w:tc>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91646">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c>
          <w:tcPr>
            <w:tcW w:w="51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58953D">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张</w:t>
            </w:r>
          </w:p>
        </w:tc>
      </w:tr>
      <w:tr w14:paraId="097DC760">
        <w:tblPrEx>
          <w:tblCellMar>
            <w:top w:w="0" w:type="dxa"/>
            <w:left w:w="108" w:type="dxa"/>
            <w:bottom w:w="0" w:type="dxa"/>
            <w:right w:w="108" w:type="dxa"/>
          </w:tblCellMar>
        </w:tblPrEx>
        <w:trPr>
          <w:trHeight w:val="3406"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A5AB2">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FEC58">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沙发床</w:t>
            </w:r>
          </w:p>
        </w:tc>
        <w:tc>
          <w:tcPr>
            <w:tcW w:w="22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E7693">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686912" behindDoc="0" locked="0" layoutInCell="1" allowOverlap="1">
                  <wp:simplePos x="0" y="0"/>
                  <wp:positionH relativeFrom="column">
                    <wp:posOffset>120015</wp:posOffset>
                  </wp:positionH>
                  <wp:positionV relativeFrom="paragraph">
                    <wp:posOffset>558800</wp:posOffset>
                  </wp:positionV>
                  <wp:extent cx="1181735" cy="833120"/>
                  <wp:effectExtent l="0" t="0" r="6985" b="5080"/>
                  <wp:wrapNone/>
                  <wp:docPr id="66" name="图片_27"/>
                  <wp:cNvGraphicFramePr/>
                  <a:graphic xmlns:a="http://schemas.openxmlformats.org/drawingml/2006/main">
                    <a:graphicData uri="http://schemas.openxmlformats.org/drawingml/2006/picture">
                      <pic:pic xmlns:pic="http://schemas.openxmlformats.org/drawingml/2006/picture">
                        <pic:nvPicPr>
                          <pic:cNvPr id="66" name="图片_27"/>
                          <pic:cNvPicPr/>
                        </pic:nvPicPr>
                        <pic:blipFill>
                          <a:blip r:embed="rId34" cstate="print"/>
                          <a:stretch>
                            <a:fillRect/>
                          </a:stretch>
                        </pic:blipFill>
                        <pic:spPr>
                          <a:xfrm>
                            <a:off x="0" y="0"/>
                            <a:ext cx="1181735" cy="833120"/>
                          </a:xfrm>
                          <a:prstGeom prst="rect">
                            <a:avLst/>
                          </a:prstGeom>
                          <a:noFill/>
                          <a:ln>
                            <a:noFill/>
                          </a:ln>
                        </pic:spPr>
                      </pic:pic>
                    </a:graphicData>
                  </a:graphic>
                </wp:anchor>
              </w:drawing>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C99E1">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三人位</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59F26">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面料：国产优质西皮面料，耐磨、透气，易清洁，皮面柔软舒适，坐感舒适；（2）基材：优质实木框架，材质坚硬钢性强，承托力不小于250KG，含水率低于9%，经防腐、防虫、防潮等技术处理；采用55﹟高密度海棉，耐久不变形，高回弹，耐冲击。（3）五金件：采用优质五金配件；所有五金配件均做防锈、防腐处理。（配腰枕）</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DB449">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51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C7B5F0">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张</w:t>
            </w:r>
          </w:p>
        </w:tc>
      </w:tr>
      <w:tr w14:paraId="30874F8E">
        <w:tblPrEx>
          <w:tblCellMar>
            <w:top w:w="0" w:type="dxa"/>
            <w:left w:w="108" w:type="dxa"/>
            <w:bottom w:w="0" w:type="dxa"/>
            <w:right w:w="108" w:type="dxa"/>
          </w:tblCellMar>
        </w:tblPrEx>
        <w:trPr>
          <w:trHeight w:val="3406"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B62E6">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52F4B">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办公桌</w:t>
            </w:r>
          </w:p>
        </w:tc>
        <w:tc>
          <w:tcPr>
            <w:tcW w:w="22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03617">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687936" behindDoc="0" locked="0" layoutInCell="1" allowOverlap="1">
                  <wp:simplePos x="0" y="0"/>
                  <wp:positionH relativeFrom="column">
                    <wp:posOffset>34925</wp:posOffset>
                  </wp:positionH>
                  <wp:positionV relativeFrom="paragraph">
                    <wp:posOffset>265430</wp:posOffset>
                  </wp:positionV>
                  <wp:extent cx="1286510" cy="1083310"/>
                  <wp:effectExtent l="0" t="0" r="8890" b="13970"/>
                  <wp:wrapNone/>
                  <wp:docPr id="63" name="图片_37"/>
                  <wp:cNvGraphicFramePr/>
                  <a:graphic xmlns:a="http://schemas.openxmlformats.org/drawingml/2006/main">
                    <a:graphicData uri="http://schemas.openxmlformats.org/drawingml/2006/picture">
                      <pic:pic xmlns:pic="http://schemas.openxmlformats.org/drawingml/2006/picture">
                        <pic:nvPicPr>
                          <pic:cNvPr id="63" name="图片_37"/>
                          <pic:cNvPicPr/>
                        </pic:nvPicPr>
                        <pic:blipFill>
                          <a:blip r:embed="rId35" cstate="print"/>
                          <a:stretch>
                            <a:fillRect/>
                          </a:stretch>
                        </pic:blipFill>
                        <pic:spPr>
                          <a:xfrm>
                            <a:off x="0" y="0"/>
                            <a:ext cx="1286510" cy="1083310"/>
                          </a:xfrm>
                          <a:prstGeom prst="rect">
                            <a:avLst/>
                          </a:prstGeom>
                          <a:noFill/>
                          <a:ln>
                            <a:noFill/>
                          </a:ln>
                        </pic:spPr>
                      </pic:pic>
                    </a:graphicData>
                  </a:graphic>
                </wp:anchor>
              </w:drawing>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00AA4">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800*400*750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5CB8E">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1、基材:优质橡木。                                                                                       2、环保净味油漆，经uv工艺涂装而成，涂装时间迅速，漆膜的外观理化性光洁高度，硬度达到2H,环保指标达到E1级标准(苯含量＜0.1%，游离二异氰酸酯（TDI、HDI）含量总和≤0.2%，卤代烃含量＜0.01%，挥发性有机化合物（VOC）含量≤600g/L)；符合GB18581-2009 室内装饰装修材料溶剂型木器涂料中有害物质限量标准要求。</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C42D1">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w:t>
            </w:r>
          </w:p>
        </w:tc>
        <w:tc>
          <w:tcPr>
            <w:tcW w:w="51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5FAACD">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张</w:t>
            </w:r>
          </w:p>
        </w:tc>
      </w:tr>
      <w:tr w14:paraId="1000798D">
        <w:tblPrEx>
          <w:tblCellMar>
            <w:top w:w="0" w:type="dxa"/>
            <w:left w:w="108" w:type="dxa"/>
            <w:bottom w:w="0" w:type="dxa"/>
            <w:right w:w="108" w:type="dxa"/>
          </w:tblCellMar>
        </w:tblPrEx>
        <w:trPr>
          <w:trHeight w:val="357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3C41A">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5A227">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休闲椅</w:t>
            </w:r>
          </w:p>
        </w:tc>
        <w:tc>
          <w:tcPr>
            <w:tcW w:w="22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99919">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688960" behindDoc="0" locked="0" layoutInCell="1" allowOverlap="1">
                  <wp:simplePos x="0" y="0"/>
                  <wp:positionH relativeFrom="column">
                    <wp:posOffset>97155</wp:posOffset>
                  </wp:positionH>
                  <wp:positionV relativeFrom="paragraph">
                    <wp:posOffset>165735</wp:posOffset>
                  </wp:positionV>
                  <wp:extent cx="1087755" cy="1599565"/>
                  <wp:effectExtent l="0" t="0" r="9525" b="635"/>
                  <wp:wrapNone/>
                  <wp:docPr id="68" name="图片_34"/>
                  <wp:cNvGraphicFramePr/>
                  <a:graphic xmlns:a="http://schemas.openxmlformats.org/drawingml/2006/main">
                    <a:graphicData uri="http://schemas.openxmlformats.org/drawingml/2006/picture">
                      <pic:pic xmlns:pic="http://schemas.openxmlformats.org/drawingml/2006/picture">
                        <pic:nvPicPr>
                          <pic:cNvPr id="68" name="图片_34"/>
                          <pic:cNvPicPr/>
                        </pic:nvPicPr>
                        <pic:blipFill>
                          <a:blip r:embed="rId36" cstate="print"/>
                          <a:stretch>
                            <a:fillRect/>
                          </a:stretch>
                        </pic:blipFill>
                        <pic:spPr>
                          <a:xfrm>
                            <a:off x="0" y="0"/>
                            <a:ext cx="1087755" cy="1599565"/>
                          </a:xfrm>
                          <a:prstGeom prst="rect">
                            <a:avLst/>
                          </a:prstGeom>
                          <a:noFill/>
                          <a:ln>
                            <a:noFill/>
                          </a:ln>
                        </pic:spPr>
                      </pic:pic>
                    </a:graphicData>
                  </a:graphic>
                </wp:anchor>
              </w:drawing>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0C169">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430*430*840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DD298">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1、原料采用POLYONE®品牌PP工程聚丙,在保证产品稳定性的同时,也保证了产品对人体无害,满足儿童出口级标准。</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2、圆润边角 无毛边，椅子边缘圆弧设计,符合人体工学设计,全椅采用一体成型设计,边缘经过多次打磨,致使整体光滑无毛边不伤手。坐感舒适。</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3、加粗椅腿 承重MAX，结实圆润腿部,整体加粗设计,线条柔和又充满厚重独特而又结实,增添椅子的厚重感,稳稳承重很安心。</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E5353">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w:t>
            </w:r>
          </w:p>
        </w:tc>
        <w:tc>
          <w:tcPr>
            <w:tcW w:w="51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790196">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张</w:t>
            </w:r>
          </w:p>
        </w:tc>
      </w:tr>
      <w:tr w14:paraId="546D1830">
        <w:tblPrEx>
          <w:tblCellMar>
            <w:top w:w="0" w:type="dxa"/>
            <w:left w:w="108" w:type="dxa"/>
            <w:bottom w:w="0" w:type="dxa"/>
            <w:right w:w="108" w:type="dxa"/>
          </w:tblCellMar>
        </w:tblPrEx>
        <w:trPr>
          <w:trHeight w:val="3406"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BC32E">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36</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0F9AC">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文件柜</w:t>
            </w:r>
          </w:p>
        </w:tc>
        <w:tc>
          <w:tcPr>
            <w:tcW w:w="22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1AB2A">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689984" behindDoc="0" locked="0" layoutInCell="1" allowOverlap="1">
                  <wp:simplePos x="0" y="0"/>
                  <wp:positionH relativeFrom="column">
                    <wp:posOffset>4445</wp:posOffset>
                  </wp:positionH>
                  <wp:positionV relativeFrom="paragraph">
                    <wp:posOffset>365760</wp:posOffset>
                  </wp:positionV>
                  <wp:extent cx="1307465" cy="1057910"/>
                  <wp:effectExtent l="0" t="0" r="3175" b="8890"/>
                  <wp:wrapNone/>
                  <wp:docPr id="65" name="图片_4_SpCnt_1"/>
                  <wp:cNvGraphicFramePr/>
                  <a:graphic xmlns:a="http://schemas.openxmlformats.org/drawingml/2006/main">
                    <a:graphicData uri="http://schemas.openxmlformats.org/drawingml/2006/picture">
                      <pic:pic xmlns:pic="http://schemas.openxmlformats.org/drawingml/2006/picture">
                        <pic:nvPicPr>
                          <pic:cNvPr id="65" name="图片_4_SpCnt_1"/>
                          <pic:cNvPicPr/>
                        </pic:nvPicPr>
                        <pic:blipFill>
                          <a:blip r:embed="rId37" cstate="print"/>
                          <a:stretch>
                            <a:fillRect/>
                          </a:stretch>
                        </pic:blipFill>
                        <pic:spPr>
                          <a:xfrm>
                            <a:off x="0" y="0"/>
                            <a:ext cx="1307465" cy="1057910"/>
                          </a:xfrm>
                          <a:prstGeom prst="rect">
                            <a:avLst/>
                          </a:prstGeom>
                          <a:noFill/>
                          <a:ln>
                            <a:noFill/>
                          </a:ln>
                        </pic:spPr>
                      </pic:pic>
                    </a:graphicData>
                  </a:graphic>
                </wp:anchor>
              </w:drawing>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607C5">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3260*500*800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140D7">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1.台面采用医用复合亚克力人造石，易清洁，美观大方；                                                              2.柜体基材：采用E1级优质环保多层夹板，均经过防虫、防腐等化学处理。3.主要板材经检验符合GB18584-2001（室内装修材料-木家具中有害物质限量）强制性标准要求；4.五金件：采用进口五金配件，所有五金配件做防锈、防腐处理。（顶层板25厘、其它18厘）</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007CF">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410E9">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组</w:t>
            </w:r>
          </w:p>
        </w:tc>
      </w:tr>
      <w:tr w14:paraId="351F22CC">
        <w:tblPrEx>
          <w:tblCellMar>
            <w:top w:w="0" w:type="dxa"/>
            <w:left w:w="108" w:type="dxa"/>
            <w:bottom w:w="0" w:type="dxa"/>
            <w:right w:w="108" w:type="dxa"/>
          </w:tblCellMar>
        </w:tblPrEx>
        <w:trPr>
          <w:trHeight w:val="3406"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C62A4">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37</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AC012">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茶水柜   (配奶间）</w:t>
            </w:r>
          </w:p>
        </w:tc>
        <w:tc>
          <w:tcPr>
            <w:tcW w:w="22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9F65C">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691008" behindDoc="0" locked="0" layoutInCell="1" allowOverlap="1">
                  <wp:simplePos x="0" y="0"/>
                  <wp:positionH relativeFrom="column">
                    <wp:posOffset>22225</wp:posOffset>
                  </wp:positionH>
                  <wp:positionV relativeFrom="paragraph">
                    <wp:posOffset>134620</wp:posOffset>
                  </wp:positionV>
                  <wp:extent cx="1211580" cy="1139825"/>
                  <wp:effectExtent l="0" t="0" r="7620" b="3175"/>
                  <wp:wrapNone/>
                  <wp:docPr id="67" name="图片_39"/>
                  <wp:cNvGraphicFramePr/>
                  <a:graphic xmlns:a="http://schemas.openxmlformats.org/drawingml/2006/main">
                    <a:graphicData uri="http://schemas.openxmlformats.org/drawingml/2006/picture">
                      <pic:pic xmlns:pic="http://schemas.openxmlformats.org/drawingml/2006/picture">
                        <pic:nvPicPr>
                          <pic:cNvPr id="67" name="图片_39"/>
                          <pic:cNvPicPr/>
                        </pic:nvPicPr>
                        <pic:blipFill>
                          <a:blip r:embed="rId38" cstate="print"/>
                          <a:stretch>
                            <a:fillRect/>
                          </a:stretch>
                        </pic:blipFill>
                        <pic:spPr>
                          <a:xfrm>
                            <a:off x="0" y="0"/>
                            <a:ext cx="1211580" cy="1139825"/>
                          </a:xfrm>
                          <a:prstGeom prst="rect">
                            <a:avLst/>
                          </a:prstGeom>
                          <a:noFill/>
                          <a:ln>
                            <a:noFill/>
                          </a:ln>
                        </pic:spPr>
                      </pic:pic>
                    </a:graphicData>
                  </a:graphic>
                </wp:anchor>
              </w:drawing>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22AA2">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1500*500*800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5A6A2">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1.台面采用医用复合亚克力人造石，易清洁，美观大方；                                                               2.柜体基材：采用E1级优质环保多层夹板，均经过防虫、防腐等化学处理。3.主要板材经检验符合GB18584-2001（室内装修材料-木家具中有害物质限量）强制性标准要求；4.五金件：采用进口五金配件，所有五金配件做防锈、防腐处理。（配置不锈钢洗手盘及冷热不锈钢水龙头）   </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3A9AA">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59783">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组</w:t>
            </w:r>
          </w:p>
        </w:tc>
      </w:tr>
      <w:tr w14:paraId="1DD42551">
        <w:tblPrEx>
          <w:tblCellMar>
            <w:top w:w="0" w:type="dxa"/>
            <w:left w:w="108" w:type="dxa"/>
            <w:bottom w:w="0" w:type="dxa"/>
            <w:right w:w="108" w:type="dxa"/>
          </w:tblCellMar>
        </w:tblPrEx>
        <w:trPr>
          <w:trHeight w:val="3417"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35CB7">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38</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18FB6">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茶水柜  （通道）</w:t>
            </w:r>
          </w:p>
        </w:tc>
        <w:tc>
          <w:tcPr>
            <w:tcW w:w="22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59CE8">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692032" behindDoc="0" locked="0" layoutInCell="1" allowOverlap="1">
                  <wp:simplePos x="0" y="0"/>
                  <wp:positionH relativeFrom="column">
                    <wp:posOffset>34925</wp:posOffset>
                  </wp:positionH>
                  <wp:positionV relativeFrom="paragraph">
                    <wp:posOffset>186055</wp:posOffset>
                  </wp:positionV>
                  <wp:extent cx="1238250" cy="1049655"/>
                  <wp:effectExtent l="0" t="0" r="11430" b="1905"/>
                  <wp:wrapNone/>
                  <wp:docPr id="64" name="图片_40"/>
                  <wp:cNvGraphicFramePr/>
                  <a:graphic xmlns:a="http://schemas.openxmlformats.org/drawingml/2006/main">
                    <a:graphicData uri="http://schemas.openxmlformats.org/drawingml/2006/picture">
                      <pic:pic xmlns:pic="http://schemas.openxmlformats.org/drawingml/2006/picture">
                        <pic:nvPicPr>
                          <pic:cNvPr id="64" name="图片_40"/>
                          <pic:cNvPicPr/>
                        </pic:nvPicPr>
                        <pic:blipFill>
                          <a:blip r:embed="rId39" cstate="print"/>
                          <a:stretch>
                            <a:fillRect/>
                          </a:stretch>
                        </pic:blipFill>
                        <pic:spPr>
                          <a:xfrm>
                            <a:off x="0" y="0"/>
                            <a:ext cx="1238250" cy="1049655"/>
                          </a:xfrm>
                          <a:prstGeom prst="rect">
                            <a:avLst/>
                          </a:prstGeom>
                          <a:noFill/>
                          <a:ln>
                            <a:noFill/>
                          </a:ln>
                        </pic:spPr>
                      </pic:pic>
                    </a:graphicData>
                  </a:graphic>
                </wp:anchor>
              </w:drawing>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CCDCF">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2450*500*800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B6477">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1.台面采用医用复合亚克力人造石，易清洁，美观大方；                                                             2.柜体基材：采用E1级优质环保多层夹板，均经过防虫、防腐等化学处理。3.主要板材经检验符合GB18584-2001（室内装修材料-木家具中有害物质限量）强制性标准要求；4.五金件：采用进口五金配件，所有五金配件做防锈、防腐处理。（配置不锈钢洗手盘及冷热不锈钢水龙头）   </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074D7">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8C2C3">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组</w:t>
            </w:r>
          </w:p>
        </w:tc>
      </w:tr>
    </w:tbl>
    <w:p w14:paraId="0DB85C82">
      <w:pPr>
        <w:pStyle w:val="41"/>
        <w:pageBreakBefore w:val="0"/>
        <w:spacing w:before="0" w:line="360" w:lineRule="auto"/>
        <w:rPr>
          <w:rFonts w:asciiTheme="minorEastAsia" w:hAnsiTheme="minorEastAsia" w:eastAsiaTheme="minorEastAsia"/>
          <w:color w:val="000000" w:themeColor="text1"/>
          <w:szCs w:val="21"/>
        </w:rPr>
      </w:pPr>
    </w:p>
    <w:p w14:paraId="08C5F6B2">
      <w:pPr>
        <w:pStyle w:val="41"/>
        <w:pageBreakBefore w:val="0"/>
        <w:numPr>
          <w:ilvl w:val="0"/>
          <w:numId w:val="2"/>
        </w:numPr>
        <w:spacing w:before="0" w:line="360" w:lineRule="auto"/>
        <w:ind w:left="0" w:firstLine="0"/>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质量及服务要求</w:t>
      </w:r>
    </w:p>
    <w:p w14:paraId="0FA31630">
      <w:pPr>
        <w:pStyle w:val="41"/>
        <w:pageBreakBefore w:val="0"/>
        <w:numPr>
          <w:ilvl w:val="3"/>
          <w:numId w:val="4"/>
        </w:numPr>
        <w:spacing w:before="0" w:line="360" w:lineRule="auto"/>
        <w:ind w:left="0" w:firstLine="0"/>
        <w:outlineLvl w:val="9"/>
        <w:rPr>
          <w:rFonts w:asciiTheme="minorEastAsia" w:hAnsiTheme="minorEastAsia" w:eastAsiaTheme="minorEastAsia"/>
          <w:b w:val="0"/>
          <w:bCs w:val="0"/>
          <w:szCs w:val="21"/>
        </w:rPr>
      </w:pPr>
      <w:r>
        <w:rPr>
          <w:rFonts w:hint="eastAsia" w:asciiTheme="minorEastAsia" w:hAnsiTheme="minorEastAsia" w:eastAsiaTheme="minorEastAsia"/>
          <w:b w:val="0"/>
          <w:bCs w:val="0"/>
          <w:szCs w:val="21"/>
        </w:rPr>
        <w:t>参选人应保证所提供的货物是原厂制造、全新未使用过、经出厂检测合格的产品，并采用符合国家标准的材料制造而成，且须完全符合遴选文件里规定的材料质量及技术要求。</w:t>
      </w:r>
    </w:p>
    <w:p w14:paraId="323339BF">
      <w:pPr>
        <w:pStyle w:val="41"/>
        <w:pageBreakBefore w:val="0"/>
        <w:numPr>
          <w:ilvl w:val="3"/>
          <w:numId w:val="4"/>
        </w:numPr>
        <w:spacing w:before="0" w:line="360" w:lineRule="auto"/>
        <w:ind w:left="0" w:firstLine="0"/>
        <w:outlineLvl w:val="9"/>
        <w:rPr>
          <w:rFonts w:asciiTheme="minorEastAsia" w:hAnsiTheme="minorEastAsia" w:eastAsiaTheme="minorEastAsia"/>
          <w:b w:val="0"/>
          <w:bCs w:val="0"/>
          <w:szCs w:val="21"/>
        </w:rPr>
      </w:pPr>
      <w:r>
        <w:rPr>
          <w:rFonts w:hint="eastAsia" w:asciiTheme="minorEastAsia" w:hAnsiTheme="minorEastAsia" w:eastAsiaTheme="minorEastAsia"/>
          <w:b w:val="0"/>
          <w:bCs w:val="0"/>
          <w:szCs w:val="21"/>
        </w:rPr>
        <w:t>参选人应保证其货物在正确安装、正常使用和保养条件下，在其使用寿命期内应具有满意的性能。</w:t>
      </w:r>
    </w:p>
    <w:p w14:paraId="38BC08AB">
      <w:pPr>
        <w:pStyle w:val="41"/>
        <w:pageBreakBefore w:val="0"/>
        <w:numPr>
          <w:ilvl w:val="3"/>
          <w:numId w:val="4"/>
        </w:numPr>
        <w:spacing w:before="0" w:line="360" w:lineRule="auto"/>
        <w:ind w:left="0" w:firstLine="0"/>
        <w:outlineLvl w:val="9"/>
        <w:rPr>
          <w:rFonts w:asciiTheme="minorEastAsia" w:hAnsiTheme="minorEastAsia" w:eastAsiaTheme="minorEastAsia"/>
          <w:b w:val="0"/>
          <w:bCs w:val="0"/>
          <w:szCs w:val="21"/>
        </w:rPr>
      </w:pPr>
      <w:r>
        <w:rPr>
          <w:rFonts w:hint="eastAsia" w:asciiTheme="minorEastAsia" w:hAnsiTheme="minorEastAsia" w:eastAsiaTheme="minorEastAsia"/>
          <w:b w:val="0"/>
          <w:bCs w:val="0"/>
          <w:szCs w:val="21"/>
        </w:rPr>
        <w:t>参选人根据遴选人需求提供家具设计图纸，家具设计图纸需经遴选人确认，若遴选人不满意，根据遴选人需求进行设计方案修改，修改经确认后提供设计图纸的电子版和纸质版，该项费用包含在参选报价中。</w:t>
      </w:r>
    </w:p>
    <w:p w14:paraId="465082D7">
      <w:pPr>
        <w:pStyle w:val="41"/>
        <w:pageBreakBefore w:val="0"/>
        <w:numPr>
          <w:ilvl w:val="3"/>
          <w:numId w:val="4"/>
        </w:numPr>
        <w:spacing w:before="0" w:line="360" w:lineRule="auto"/>
        <w:ind w:left="0" w:firstLine="0"/>
        <w:outlineLvl w:val="9"/>
        <w:rPr>
          <w:rFonts w:asciiTheme="minorEastAsia" w:hAnsiTheme="minorEastAsia" w:eastAsiaTheme="minorEastAsia"/>
          <w:b w:val="0"/>
          <w:bCs w:val="0"/>
          <w:szCs w:val="21"/>
        </w:rPr>
      </w:pPr>
      <w:r>
        <w:rPr>
          <w:rFonts w:hint="eastAsia" w:asciiTheme="minorEastAsia" w:hAnsiTheme="minorEastAsia" w:eastAsiaTheme="minorEastAsia"/>
          <w:b w:val="0"/>
          <w:bCs w:val="0"/>
          <w:szCs w:val="21"/>
        </w:rPr>
        <w:t xml:space="preserve">中选人签订合同后须将设计图交采购部门确认后方可生产，如确认后的图纸对比遴选时变更较大导致无法执行合同单价的，须报变更预算经遴选人审批后方可生产，如未经报批该项目不予结算。 </w:t>
      </w:r>
    </w:p>
    <w:p w14:paraId="42799D1E">
      <w:pPr>
        <w:pStyle w:val="41"/>
        <w:pageBreakBefore w:val="0"/>
        <w:numPr>
          <w:ilvl w:val="3"/>
          <w:numId w:val="4"/>
        </w:numPr>
        <w:spacing w:before="0" w:line="360" w:lineRule="auto"/>
        <w:ind w:left="0" w:firstLine="0"/>
        <w:outlineLvl w:val="9"/>
        <w:rPr>
          <w:rFonts w:asciiTheme="minorEastAsia" w:hAnsiTheme="minorEastAsia" w:eastAsiaTheme="minorEastAsia"/>
          <w:b w:val="0"/>
          <w:bCs w:val="0"/>
          <w:szCs w:val="21"/>
        </w:rPr>
      </w:pPr>
      <w:r>
        <w:rPr>
          <w:rFonts w:hint="eastAsia" w:asciiTheme="minorEastAsia" w:hAnsiTheme="minorEastAsia" w:eastAsiaTheme="minorEastAsia"/>
          <w:b w:val="0"/>
          <w:bCs w:val="0"/>
          <w:szCs w:val="21"/>
        </w:rPr>
        <w:t>产品生产前及生产期间，遴选人有权就中选人对本项目的备料进行抽检，对进货材料（含板材、五金配件、皮革、海绵等）随机抽样送至第三方公正性检测机构检验，取得相应的检验合格报告，检验费由中选人支付。遴选人有权拒绝检验不合格的材料投入生产。</w:t>
      </w:r>
    </w:p>
    <w:p w14:paraId="5F6A13E3">
      <w:pPr>
        <w:pStyle w:val="41"/>
        <w:pageBreakBefore w:val="0"/>
        <w:numPr>
          <w:ilvl w:val="0"/>
          <w:numId w:val="2"/>
        </w:numPr>
        <w:spacing w:before="0" w:line="360" w:lineRule="auto"/>
        <w:ind w:left="0" w:firstLine="0"/>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验收要求</w:t>
      </w:r>
    </w:p>
    <w:p w14:paraId="56695B01">
      <w:pPr>
        <w:pStyle w:val="41"/>
        <w:pageBreakBefore w:val="0"/>
        <w:numPr>
          <w:ilvl w:val="0"/>
          <w:numId w:val="5"/>
        </w:numPr>
        <w:spacing w:before="0" w:line="360" w:lineRule="auto"/>
        <w:ind w:left="0" w:firstLine="0"/>
        <w:outlineLvl w:val="9"/>
        <w:rPr>
          <w:rFonts w:asciiTheme="minorEastAsia" w:hAnsiTheme="minorEastAsia" w:eastAsiaTheme="minorEastAsia"/>
          <w:b w:val="0"/>
          <w:bCs w:val="0"/>
          <w:szCs w:val="21"/>
        </w:rPr>
      </w:pPr>
      <w:r>
        <w:rPr>
          <w:rFonts w:hint="eastAsia" w:asciiTheme="minorEastAsia" w:hAnsiTheme="minorEastAsia" w:eastAsiaTheme="minorEastAsia"/>
          <w:b w:val="0"/>
          <w:bCs w:val="0"/>
          <w:szCs w:val="21"/>
        </w:rPr>
        <w:t>中选人提供的货物应完全符合国家相关质量标准。</w:t>
      </w:r>
    </w:p>
    <w:p w14:paraId="36439C9C">
      <w:pPr>
        <w:pStyle w:val="41"/>
        <w:pageBreakBefore w:val="0"/>
        <w:numPr>
          <w:ilvl w:val="0"/>
          <w:numId w:val="5"/>
        </w:numPr>
        <w:spacing w:before="0" w:line="360" w:lineRule="auto"/>
        <w:ind w:left="0" w:firstLine="0"/>
        <w:outlineLvl w:val="9"/>
        <w:rPr>
          <w:rFonts w:asciiTheme="minorEastAsia" w:hAnsiTheme="minorEastAsia" w:eastAsiaTheme="minorEastAsia"/>
          <w:b w:val="0"/>
          <w:bCs w:val="0"/>
          <w:szCs w:val="21"/>
        </w:rPr>
      </w:pPr>
      <w:r>
        <w:rPr>
          <w:rFonts w:hint="eastAsia" w:asciiTheme="minorEastAsia" w:hAnsiTheme="minorEastAsia" w:eastAsiaTheme="minorEastAsia"/>
          <w:b w:val="0"/>
          <w:bCs w:val="0"/>
          <w:szCs w:val="21"/>
        </w:rPr>
        <w:t>中选人提供的货物低于参选时响应的货物的，遴选人不予以收货；</w:t>
      </w:r>
    </w:p>
    <w:p w14:paraId="6A1D4BD1">
      <w:pPr>
        <w:pStyle w:val="41"/>
        <w:pageBreakBefore w:val="0"/>
        <w:numPr>
          <w:ilvl w:val="0"/>
          <w:numId w:val="5"/>
        </w:numPr>
        <w:spacing w:before="0" w:line="360" w:lineRule="auto"/>
        <w:ind w:left="0" w:firstLine="0"/>
        <w:outlineLvl w:val="9"/>
        <w:rPr>
          <w:rFonts w:asciiTheme="minorEastAsia" w:hAnsiTheme="minorEastAsia" w:eastAsiaTheme="minorEastAsia"/>
          <w:b w:val="0"/>
          <w:bCs w:val="0"/>
          <w:szCs w:val="21"/>
        </w:rPr>
      </w:pPr>
      <w:r>
        <w:rPr>
          <w:rFonts w:hint="eastAsia" w:asciiTheme="minorEastAsia" w:hAnsiTheme="minorEastAsia" w:eastAsiaTheme="minorEastAsia"/>
          <w:b w:val="0"/>
          <w:bCs w:val="0"/>
          <w:szCs w:val="21"/>
        </w:rPr>
        <w:t>货物验收前，中选人需提交供货清单、产品设计图纸、原材料及成品检测报告、出厂合格证等一式二份的验收资料送遴选人。遴选人根据合同、遴选文件、参选文件、厂家货物技术标准说明及有关国家的质量标准规定组织现场验收，双方派专人对产品清单（包含款式、数量、规格尺寸）进行确认，完成验收后双方在验收报告上签署验收意见，验收的货物必须与采购订单一致。</w:t>
      </w:r>
    </w:p>
    <w:p w14:paraId="5014F27D">
      <w:pPr>
        <w:pStyle w:val="41"/>
        <w:pageBreakBefore w:val="0"/>
        <w:numPr>
          <w:ilvl w:val="0"/>
          <w:numId w:val="2"/>
        </w:numPr>
        <w:spacing w:before="0" w:line="360" w:lineRule="auto"/>
        <w:ind w:left="0" w:firstLine="0"/>
        <w:rPr>
          <w:rFonts w:asciiTheme="minorEastAsia" w:hAnsiTheme="minorEastAsia" w:eastAsiaTheme="minorEastAsia"/>
          <w:color w:val="auto"/>
          <w:szCs w:val="21"/>
        </w:rPr>
      </w:pPr>
      <w:r>
        <w:rPr>
          <w:rFonts w:hint="eastAsia" w:asciiTheme="minorEastAsia" w:hAnsiTheme="minorEastAsia" w:eastAsiaTheme="minorEastAsia"/>
          <w:color w:val="000000" w:themeColor="text1"/>
          <w:szCs w:val="21"/>
        </w:rPr>
        <w:t>售后服务</w:t>
      </w:r>
    </w:p>
    <w:p w14:paraId="65DB69EF">
      <w:pPr>
        <w:pStyle w:val="41"/>
        <w:pageBreakBefore w:val="0"/>
        <w:numPr>
          <w:ilvl w:val="0"/>
          <w:numId w:val="6"/>
        </w:numPr>
        <w:spacing w:before="0" w:line="360" w:lineRule="auto"/>
        <w:ind w:left="0" w:firstLine="0"/>
        <w:outlineLvl w:val="9"/>
        <w:rPr>
          <w:rFonts w:asciiTheme="minorEastAsia" w:hAnsiTheme="minorEastAsia" w:eastAsiaTheme="minorEastAsia"/>
          <w:b w:val="0"/>
          <w:bCs w:val="0"/>
          <w:color w:val="auto"/>
          <w:szCs w:val="21"/>
        </w:rPr>
      </w:pPr>
      <w:r>
        <w:rPr>
          <w:rFonts w:hint="eastAsia" w:asciiTheme="minorEastAsia" w:hAnsiTheme="minorEastAsia" w:eastAsiaTheme="minorEastAsia"/>
          <w:b w:val="0"/>
          <w:bCs w:val="0"/>
          <w:color w:val="auto"/>
          <w:szCs w:val="21"/>
        </w:rPr>
        <w:t>免费质保期：中选人须提供5年免费质保期，免费质保期内实行“三包”，时间自家具最终验收合格并交付使用之日起计算。</w:t>
      </w:r>
    </w:p>
    <w:p w14:paraId="56694EFE">
      <w:pPr>
        <w:pStyle w:val="41"/>
        <w:pageBreakBefore w:val="0"/>
        <w:numPr>
          <w:ilvl w:val="0"/>
          <w:numId w:val="6"/>
        </w:numPr>
        <w:spacing w:before="0" w:line="360" w:lineRule="auto"/>
        <w:ind w:left="0" w:firstLine="0"/>
        <w:outlineLvl w:val="9"/>
        <w:rPr>
          <w:rFonts w:asciiTheme="minorEastAsia" w:hAnsiTheme="minorEastAsia" w:eastAsiaTheme="minorEastAsia"/>
          <w:b w:val="0"/>
          <w:bCs w:val="0"/>
          <w:color w:val="auto"/>
          <w:szCs w:val="21"/>
        </w:rPr>
      </w:pPr>
      <w:r>
        <w:rPr>
          <w:rFonts w:hint="eastAsia" w:asciiTheme="minorEastAsia" w:hAnsiTheme="minorEastAsia" w:eastAsiaTheme="minorEastAsia"/>
          <w:b w:val="0"/>
          <w:bCs w:val="0"/>
          <w:color w:val="auto"/>
          <w:szCs w:val="21"/>
        </w:rPr>
        <w:t>服务响应时间：接到维修通知后2小时内响应，12小时内到达现场。</w:t>
      </w:r>
    </w:p>
    <w:p w14:paraId="46B41586">
      <w:pPr>
        <w:pStyle w:val="41"/>
        <w:pageBreakBefore w:val="0"/>
        <w:numPr>
          <w:ilvl w:val="0"/>
          <w:numId w:val="6"/>
        </w:numPr>
        <w:spacing w:before="0" w:line="360" w:lineRule="auto"/>
        <w:ind w:left="0" w:firstLine="0"/>
        <w:outlineLvl w:val="9"/>
        <w:rPr>
          <w:rFonts w:asciiTheme="minorEastAsia" w:hAnsiTheme="minorEastAsia" w:eastAsiaTheme="minorEastAsia"/>
          <w:b w:val="0"/>
          <w:bCs w:val="0"/>
          <w:szCs w:val="21"/>
        </w:rPr>
      </w:pPr>
      <w:r>
        <w:rPr>
          <w:rFonts w:hint="eastAsia" w:asciiTheme="minorEastAsia" w:hAnsiTheme="minorEastAsia" w:eastAsiaTheme="minorEastAsia"/>
          <w:b w:val="0"/>
          <w:bCs w:val="0"/>
          <w:color w:val="auto"/>
          <w:szCs w:val="21"/>
        </w:rPr>
        <w:t>质保期内如出现严重质量问题，72小时内不能完成维修，则中选人最迟应在15日内免费向</w:t>
      </w:r>
      <w:r>
        <w:rPr>
          <w:rFonts w:hint="eastAsia" w:asciiTheme="minorEastAsia" w:hAnsiTheme="minorEastAsia" w:eastAsiaTheme="minorEastAsia"/>
          <w:b w:val="0"/>
          <w:bCs w:val="0"/>
          <w:szCs w:val="21"/>
        </w:rPr>
        <w:t>遴选人提供同样规格要求的替代品。</w:t>
      </w:r>
    </w:p>
    <w:p w14:paraId="37FF9E16">
      <w:pPr>
        <w:pStyle w:val="41"/>
        <w:pageBreakBefore w:val="0"/>
        <w:numPr>
          <w:ilvl w:val="0"/>
          <w:numId w:val="6"/>
        </w:numPr>
        <w:spacing w:before="0" w:line="360" w:lineRule="auto"/>
        <w:ind w:left="0" w:firstLine="0"/>
        <w:outlineLvl w:val="9"/>
        <w:rPr>
          <w:rFonts w:asciiTheme="minorEastAsia" w:hAnsiTheme="minorEastAsia" w:eastAsiaTheme="minorEastAsia"/>
          <w:b w:val="0"/>
          <w:bCs w:val="0"/>
          <w:szCs w:val="21"/>
        </w:rPr>
      </w:pPr>
      <w:r>
        <w:rPr>
          <w:rFonts w:hint="eastAsia" w:asciiTheme="minorEastAsia" w:hAnsiTheme="minorEastAsia" w:eastAsiaTheme="minorEastAsia"/>
          <w:b w:val="0"/>
          <w:bCs w:val="0"/>
          <w:szCs w:val="21"/>
        </w:rPr>
        <w:t>在质保期内，同一缺陷经三次维修、调换后仍无法达到质量标准的，则认定该类产品均不合格，遴选人有权将该类产品无条件退货。由此造成的损失，全部由中选人承担。</w:t>
      </w:r>
    </w:p>
    <w:p w14:paraId="23AF800D">
      <w:pPr>
        <w:pStyle w:val="41"/>
        <w:pageBreakBefore w:val="0"/>
        <w:numPr>
          <w:ilvl w:val="0"/>
          <w:numId w:val="6"/>
        </w:numPr>
        <w:spacing w:before="0" w:line="360" w:lineRule="auto"/>
        <w:ind w:left="0" w:firstLine="0"/>
        <w:outlineLvl w:val="9"/>
        <w:rPr>
          <w:rFonts w:asciiTheme="minorEastAsia" w:hAnsiTheme="minorEastAsia" w:eastAsiaTheme="minorEastAsia"/>
          <w:b w:val="0"/>
          <w:bCs w:val="0"/>
          <w:szCs w:val="21"/>
        </w:rPr>
      </w:pPr>
      <w:r>
        <w:rPr>
          <w:rFonts w:hint="eastAsia" w:asciiTheme="minorEastAsia" w:hAnsiTheme="minorEastAsia" w:eastAsiaTheme="minorEastAsia"/>
          <w:b w:val="0"/>
          <w:bCs w:val="0"/>
          <w:szCs w:val="21"/>
        </w:rPr>
        <w:t>免费质保期内，非遴选人的人为原因而出现的产品质量及安装问题，由中选人负责包修、包换或包退，并承担因此而产生的一切费用。</w:t>
      </w:r>
    </w:p>
    <w:p w14:paraId="78D385EC">
      <w:pPr>
        <w:pStyle w:val="41"/>
        <w:pageBreakBefore w:val="0"/>
        <w:numPr>
          <w:ilvl w:val="0"/>
          <w:numId w:val="6"/>
        </w:numPr>
        <w:spacing w:before="0" w:line="360" w:lineRule="auto"/>
        <w:ind w:left="0" w:firstLine="0"/>
        <w:outlineLvl w:val="9"/>
        <w:rPr>
          <w:rFonts w:asciiTheme="minorEastAsia" w:hAnsiTheme="minorEastAsia" w:eastAsiaTheme="minorEastAsia"/>
          <w:b w:val="0"/>
          <w:bCs w:val="0"/>
          <w:szCs w:val="21"/>
        </w:rPr>
      </w:pPr>
      <w:r>
        <w:rPr>
          <w:rFonts w:hint="eastAsia" w:asciiTheme="minorEastAsia" w:hAnsiTheme="minorEastAsia" w:eastAsiaTheme="minorEastAsia"/>
          <w:b w:val="0"/>
          <w:bCs w:val="0"/>
          <w:szCs w:val="21"/>
        </w:rPr>
        <w:t>所有货物保修服务方式均为中选人上门保修，即由中选人派员到使用现场维修，由此产生的一切费用均由中选人负责。</w:t>
      </w:r>
    </w:p>
    <w:p w14:paraId="241C0151">
      <w:pPr>
        <w:pStyle w:val="41"/>
        <w:pageBreakBefore w:val="0"/>
        <w:numPr>
          <w:ilvl w:val="0"/>
          <w:numId w:val="2"/>
        </w:numPr>
        <w:spacing w:before="0" w:line="360" w:lineRule="auto"/>
        <w:ind w:left="0" w:firstLine="0"/>
        <w:rPr>
          <w:rFonts w:asciiTheme="minorEastAsia" w:hAnsiTheme="minorEastAsia" w:eastAsiaTheme="minorEastAsia"/>
          <w:szCs w:val="21"/>
        </w:rPr>
      </w:pPr>
      <w:r>
        <w:rPr>
          <w:rFonts w:hint="eastAsia" w:asciiTheme="minorEastAsia" w:hAnsiTheme="minorEastAsia" w:eastAsiaTheme="minorEastAsia"/>
          <w:szCs w:val="21"/>
        </w:rPr>
        <w:t>付款方式</w:t>
      </w:r>
    </w:p>
    <w:p w14:paraId="15E3CE43">
      <w:pPr>
        <w:pStyle w:val="41"/>
        <w:pageBreakBefore w:val="0"/>
        <w:numPr>
          <w:ilvl w:val="0"/>
          <w:numId w:val="0"/>
        </w:numPr>
        <w:tabs>
          <w:tab w:val="left" w:pos="425"/>
          <w:tab w:val="clear" w:pos="426"/>
        </w:tabs>
        <w:spacing w:before="0" w:line="360" w:lineRule="auto"/>
        <w:ind w:leftChars="0"/>
        <w:outlineLvl w:val="9"/>
        <w:rPr>
          <w:rFonts w:asciiTheme="minorEastAsia" w:hAnsiTheme="minorEastAsia" w:eastAsiaTheme="minorEastAsia"/>
          <w:b w:val="0"/>
          <w:bCs w:val="0"/>
          <w:szCs w:val="21"/>
        </w:rPr>
      </w:pPr>
      <w:r>
        <w:rPr>
          <w:rFonts w:hint="eastAsia" w:asciiTheme="minorEastAsia" w:hAnsiTheme="minorEastAsia" w:eastAsiaTheme="minorEastAsia"/>
          <w:b w:val="0"/>
          <w:bCs w:val="0"/>
          <w:szCs w:val="21"/>
        </w:rPr>
        <w:t>支付方式</w:t>
      </w:r>
      <w:r>
        <w:rPr>
          <w:rFonts w:hint="eastAsia" w:asciiTheme="minorEastAsia" w:hAnsiTheme="minorEastAsia" w:eastAsiaTheme="minorEastAsia"/>
          <w:b w:val="0"/>
          <w:bCs w:val="0"/>
          <w:color w:val="auto"/>
          <w:szCs w:val="21"/>
        </w:rPr>
        <w:t>：遴选人收齐中选人提供的货物、安装完毕及验收通过且收到中选人提供的等额发票之日起15个工作日内办理支付，若中选人提供的材料不符合约定的，遴选人的付款时间将相应顺延，且无须承担任何违约责任。</w:t>
      </w:r>
    </w:p>
    <w:p w14:paraId="2043E791">
      <w:pPr>
        <w:pStyle w:val="41"/>
        <w:pageBreakBefore w:val="0"/>
        <w:numPr>
          <w:ilvl w:val="0"/>
          <w:numId w:val="2"/>
        </w:numPr>
        <w:spacing w:before="0" w:line="360" w:lineRule="auto"/>
        <w:ind w:left="0" w:firstLine="0"/>
        <w:rPr>
          <w:rFonts w:asciiTheme="minorEastAsia" w:hAnsiTheme="minorEastAsia" w:eastAsiaTheme="minorEastAsia"/>
          <w:szCs w:val="21"/>
        </w:rPr>
      </w:pPr>
      <w:r>
        <w:rPr>
          <w:color w:val="000000" w:themeColor="text1"/>
          <w:lang w:val="zh-CN"/>
        </w:rPr>
        <w:br w:type="page"/>
      </w:r>
      <w:r>
        <w:rPr>
          <w:rFonts w:hint="eastAsia" w:asciiTheme="minorEastAsia" w:hAnsiTheme="minorEastAsia" w:eastAsiaTheme="minorEastAsia"/>
          <w:szCs w:val="21"/>
        </w:rPr>
        <w:t>评分标准</w:t>
      </w:r>
    </w:p>
    <w:p w14:paraId="3F0BF44E">
      <w:pPr>
        <w:spacing w:line="360" w:lineRule="auto"/>
        <w:rPr>
          <w:rFonts w:asciiTheme="minorEastAsia" w:hAnsiTheme="minorEastAsia"/>
          <w:b/>
          <w:bCs/>
          <w:color w:val="000000" w:themeColor="text1"/>
        </w:rPr>
      </w:pPr>
      <w:r>
        <w:rPr>
          <w:rFonts w:hint="eastAsia" w:asciiTheme="minorEastAsia" w:hAnsiTheme="minorEastAsia"/>
          <w:b/>
          <w:bCs/>
          <w:color w:val="000000" w:themeColor="text1"/>
        </w:rPr>
        <w:t>本次采用综合评分法。遴选以文件规定的条件为依据。评分比重构成如下：</w:t>
      </w:r>
    </w:p>
    <w:tbl>
      <w:tblPr>
        <w:tblStyle w:val="18"/>
        <w:tblW w:w="8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69"/>
        <w:gridCol w:w="2330"/>
        <w:gridCol w:w="2219"/>
        <w:gridCol w:w="1888"/>
      </w:tblGrid>
      <w:tr w14:paraId="5663F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3" w:hRule="atLeast"/>
          <w:jc w:val="center"/>
        </w:trPr>
        <w:tc>
          <w:tcPr>
            <w:tcW w:w="1869" w:type="dxa"/>
            <w:tcBorders>
              <w:top w:val="single" w:color="auto" w:sz="4" w:space="0"/>
              <w:left w:val="single" w:color="auto" w:sz="4" w:space="0"/>
              <w:bottom w:val="single" w:color="auto" w:sz="4" w:space="0"/>
              <w:right w:val="single" w:color="auto" w:sz="4" w:space="0"/>
            </w:tcBorders>
            <w:vAlign w:val="center"/>
          </w:tcPr>
          <w:p w14:paraId="5E21EE0D">
            <w:pPr>
              <w:spacing w:line="360" w:lineRule="auto"/>
              <w:jc w:val="center"/>
              <w:rPr>
                <w:rFonts w:cs="宋体" w:asciiTheme="minorEastAsia" w:hAnsiTheme="minorEastAsia"/>
                <w:color w:val="000000" w:themeColor="text1"/>
              </w:rPr>
            </w:pPr>
            <w:r>
              <w:rPr>
                <w:rFonts w:hint="eastAsia" w:cs="宋体" w:asciiTheme="minorEastAsia" w:hAnsiTheme="minorEastAsia"/>
                <w:color w:val="000000" w:themeColor="text1"/>
              </w:rPr>
              <w:t>评分项目</w:t>
            </w:r>
          </w:p>
        </w:tc>
        <w:tc>
          <w:tcPr>
            <w:tcW w:w="2330" w:type="dxa"/>
            <w:tcBorders>
              <w:top w:val="single" w:color="auto" w:sz="4" w:space="0"/>
              <w:left w:val="single" w:color="auto" w:sz="4" w:space="0"/>
              <w:bottom w:val="single" w:color="auto" w:sz="4" w:space="0"/>
              <w:right w:val="single" w:color="auto" w:sz="4" w:space="0"/>
            </w:tcBorders>
            <w:vAlign w:val="center"/>
          </w:tcPr>
          <w:p w14:paraId="0E73775A">
            <w:pPr>
              <w:spacing w:line="360" w:lineRule="auto"/>
              <w:jc w:val="center"/>
              <w:rPr>
                <w:rFonts w:cs="宋体" w:asciiTheme="minorEastAsia" w:hAnsiTheme="minorEastAsia"/>
                <w:color w:val="000000" w:themeColor="text1"/>
              </w:rPr>
            </w:pPr>
            <w:r>
              <w:rPr>
                <w:rFonts w:hint="eastAsia" w:cs="宋体" w:asciiTheme="minorEastAsia" w:hAnsiTheme="minorEastAsia"/>
                <w:color w:val="000000" w:themeColor="text1"/>
              </w:rPr>
              <w:t>商务评分</w:t>
            </w:r>
          </w:p>
        </w:tc>
        <w:tc>
          <w:tcPr>
            <w:tcW w:w="2219" w:type="dxa"/>
            <w:tcBorders>
              <w:top w:val="single" w:color="auto" w:sz="4" w:space="0"/>
              <w:left w:val="single" w:color="auto" w:sz="4" w:space="0"/>
              <w:bottom w:val="single" w:color="auto" w:sz="4" w:space="0"/>
              <w:right w:val="single" w:color="auto" w:sz="4" w:space="0"/>
            </w:tcBorders>
            <w:vAlign w:val="center"/>
          </w:tcPr>
          <w:p w14:paraId="3B834972">
            <w:pPr>
              <w:spacing w:line="360" w:lineRule="auto"/>
              <w:jc w:val="center"/>
              <w:rPr>
                <w:rFonts w:cs="宋体" w:asciiTheme="minorEastAsia" w:hAnsiTheme="minorEastAsia"/>
                <w:color w:val="000000" w:themeColor="text1"/>
              </w:rPr>
            </w:pPr>
            <w:r>
              <w:rPr>
                <w:rFonts w:hint="eastAsia" w:cs="宋体" w:asciiTheme="minorEastAsia" w:hAnsiTheme="minorEastAsia"/>
                <w:color w:val="000000" w:themeColor="text1"/>
              </w:rPr>
              <w:t>技术评分</w:t>
            </w:r>
          </w:p>
        </w:tc>
        <w:tc>
          <w:tcPr>
            <w:tcW w:w="1888" w:type="dxa"/>
            <w:tcBorders>
              <w:top w:val="single" w:color="auto" w:sz="4" w:space="0"/>
              <w:left w:val="single" w:color="auto" w:sz="4" w:space="0"/>
              <w:bottom w:val="single" w:color="auto" w:sz="4" w:space="0"/>
              <w:right w:val="single" w:color="auto" w:sz="4" w:space="0"/>
            </w:tcBorders>
            <w:vAlign w:val="center"/>
          </w:tcPr>
          <w:p w14:paraId="7121B541">
            <w:pPr>
              <w:spacing w:line="360" w:lineRule="auto"/>
              <w:jc w:val="center"/>
              <w:rPr>
                <w:rFonts w:cs="宋体" w:asciiTheme="minorEastAsia" w:hAnsiTheme="minorEastAsia"/>
                <w:color w:val="000000" w:themeColor="text1"/>
              </w:rPr>
            </w:pPr>
            <w:r>
              <w:rPr>
                <w:rFonts w:hint="eastAsia" w:cs="宋体" w:asciiTheme="minorEastAsia" w:hAnsiTheme="minorEastAsia"/>
                <w:color w:val="000000" w:themeColor="text1"/>
              </w:rPr>
              <w:t>价格评分</w:t>
            </w:r>
          </w:p>
        </w:tc>
      </w:tr>
      <w:tr w14:paraId="0C4E9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1869" w:type="dxa"/>
            <w:tcBorders>
              <w:top w:val="single" w:color="auto" w:sz="4" w:space="0"/>
              <w:left w:val="single" w:color="auto" w:sz="4" w:space="0"/>
              <w:bottom w:val="single" w:color="auto" w:sz="4" w:space="0"/>
              <w:right w:val="single" w:color="auto" w:sz="4" w:space="0"/>
            </w:tcBorders>
            <w:vAlign w:val="center"/>
          </w:tcPr>
          <w:p w14:paraId="2BA21D00">
            <w:pPr>
              <w:spacing w:line="360" w:lineRule="auto"/>
              <w:jc w:val="center"/>
              <w:rPr>
                <w:rFonts w:cs="宋体" w:asciiTheme="minorEastAsia" w:hAnsiTheme="minorEastAsia"/>
                <w:color w:val="000000" w:themeColor="text1"/>
              </w:rPr>
            </w:pPr>
            <w:r>
              <w:rPr>
                <w:rFonts w:hint="eastAsia" w:cs="宋体" w:asciiTheme="minorEastAsia" w:hAnsiTheme="minorEastAsia"/>
                <w:color w:val="000000" w:themeColor="text1"/>
              </w:rPr>
              <w:t>分值</w:t>
            </w:r>
          </w:p>
        </w:tc>
        <w:tc>
          <w:tcPr>
            <w:tcW w:w="2330" w:type="dxa"/>
            <w:tcBorders>
              <w:top w:val="single" w:color="auto" w:sz="4" w:space="0"/>
              <w:left w:val="single" w:color="auto" w:sz="4" w:space="0"/>
              <w:bottom w:val="single" w:color="auto" w:sz="4" w:space="0"/>
              <w:right w:val="single" w:color="auto" w:sz="4" w:space="0"/>
            </w:tcBorders>
          </w:tcPr>
          <w:p w14:paraId="6A061110">
            <w:pPr>
              <w:spacing w:line="360" w:lineRule="auto"/>
              <w:jc w:val="center"/>
              <w:rPr>
                <w:rFonts w:cs="宋体" w:asciiTheme="minorEastAsia" w:hAnsiTheme="minorEastAsia"/>
                <w:color w:val="FF0000"/>
              </w:rPr>
            </w:pPr>
            <w:r>
              <w:rPr>
                <w:rFonts w:hint="eastAsia" w:asciiTheme="minorEastAsia" w:hAnsiTheme="minorEastAsia"/>
              </w:rPr>
              <w:t>30分</w:t>
            </w:r>
          </w:p>
        </w:tc>
        <w:tc>
          <w:tcPr>
            <w:tcW w:w="2219" w:type="dxa"/>
            <w:tcBorders>
              <w:top w:val="single" w:color="auto" w:sz="4" w:space="0"/>
              <w:left w:val="single" w:color="auto" w:sz="4" w:space="0"/>
              <w:bottom w:val="single" w:color="auto" w:sz="4" w:space="0"/>
              <w:right w:val="single" w:color="auto" w:sz="4" w:space="0"/>
            </w:tcBorders>
          </w:tcPr>
          <w:p w14:paraId="57A33470">
            <w:pPr>
              <w:spacing w:line="360" w:lineRule="auto"/>
              <w:jc w:val="center"/>
              <w:rPr>
                <w:rFonts w:cs="宋体" w:asciiTheme="minorEastAsia" w:hAnsiTheme="minorEastAsia"/>
                <w:color w:val="FF0000"/>
              </w:rPr>
            </w:pPr>
            <w:r>
              <w:rPr>
                <w:rFonts w:hint="eastAsia" w:asciiTheme="minorEastAsia" w:hAnsiTheme="minorEastAsia"/>
              </w:rPr>
              <w:t>40分</w:t>
            </w:r>
          </w:p>
        </w:tc>
        <w:tc>
          <w:tcPr>
            <w:tcW w:w="1888" w:type="dxa"/>
            <w:tcBorders>
              <w:top w:val="single" w:color="auto" w:sz="4" w:space="0"/>
              <w:left w:val="single" w:color="auto" w:sz="4" w:space="0"/>
              <w:bottom w:val="single" w:color="auto" w:sz="4" w:space="0"/>
              <w:right w:val="single" w:color="auto" w:sz="4" w:space="0"/>
            </w:tcBorders>
          </w:tcPr>
          <w:p w14:paraId="2E9C30D7">
            <w:pPr>
              <w:spacing w:line="360" w:lineRule="auto"/>
              <w:jc w:val="center"/>
              <w:rPr>
                <w:rFonts w:cs="宋体" w:asciiTheme="minorEastAsia" w:hAnsiTheme="minorEastAsia"/>
                <w:color w:val="FF0000"/>
              </w:rPr>
            </w:pPr>
            <w:r>
              <w:rPr>
                <w:rFonts w:hint="eastAsia" w:asciiTheme="minorEastAsia" w:hAnsiTheme="minorEastAsia"/>
              </w:rPr>
              <w:t>30分</w:t>
            </w:r>
          </w:p>
        </w:tc>
      </w:tr>
    </w:tbl>
    <w:p w14:paraId="0E8157FD">
      <w:pPr>
        <w:pStyle w:val="10"/>
        <w:tabs>
          <w:tab w:val="left" w:pos="540"/>
        </w:tabs>
        <w:adjustRightInd w:val="0"/>
        <w:snapToGrid w:val="0"/>
        <w:spacing w:line="360" w:lineRule="auto"/>
        <w:rPr>
          <w:rFonts w:cs="仿宋" w:asciiTheme="minorEastAsia" w:hAnsiTheme="minorEastAsia" w:eastAsiaTheme="minorEastAsia"/>
          <w:b/>
          <w:bCs/>
          <w:color w:val="000000" w:themeColor="text1"/>
        </w:rPr>
      </w:pPr>
    </w:p>
    <w:p w14:paraId="5267B819">
      <w:pPr>
        <w:pStyle w:val="10"/>
        <w:tabs>
          <w:tab w:val="left" w:pos="540"/>
        </w:tabs>
        <w:adjustRightInd w:val="0"/>
        <w:snapToGrid w:val="0"/>
        <w:spacing w:line="360" w:lineRule="auto"/>
        <w:jc w:val="center"/>
        <w:rPr>
          <w:rFonts w:cs="仿宋" w:asciiTheme="minorEastAsia" w:hAnsiTheme="minorEastAsia" w:eastAsiaTheme="minorEastAsia"/>
          <w:b/>
          <w:bCs/>
          <w:color w:val="000000" w:themeColor="text1"/>
          <w:sz w:val="21"/>
        </w:rPr>
      </w:pPr>
      <w:bookmarkStart w:id="0" w:name="_Hlk99205135"/>
      <w:r>
        <w:rPr>
          <w:rFonts w:hint="eastAsia" w:cs="仿宋" w:asciiTheme="minorEastAsia" w:hAnsiTheme="minorEastAsia" w:eastAsiaTheme="minorEastAsia"/>
          <w:b/>
          <w:bCs/>
          <w:color w:val="000000" w:themeColor="text1"/>
          <w:sz w:val="21"/>
        </w:rPr>
        <w:t>综合评分表</w:t>
      </w:r>
    </w:p>
    <w:tbl>
      <w:tblPr>
        <w:tblStyle w:val="18"/>
        <w:tblW w:w="91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9"/>
        <w:gridCol w:w="6322"/>
        <w:gridCol w:w="1271"/>
      </w:tblGrid>
      <w:tr w14:paraId="4A175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599" w:type="dxa"/>
            <w:vAlign w:val="center"/>
          </w:tcPr>
          <w:p w14:paraId="55FD1B7B">
            <w:pPr>
              <w:jc w:val="center"/>
              <w:rPr>
                <w:rFonts w:ascii="宋体" w:hAnsi="宋体" w:cs="微软雅黑"/>
                <w:b/>
                <w:color w:val="000000"/>
                <w:szCs w:val="21"/>
              </w:rPr>
            </w:pPr>
            <w:r>
              <w:rPr>
                <w:rFonts w:hint="eastAsia" w:ascii="宋体" w:hAnsi="宋体" w:cs="微软雅黑"/>
                <w:b/>
                <w:color w:val="000000"/>
                <w:szCs w:val="21"/>
              </w:rPr>
              <w:t>评审因素</w:t>
            </w:r>
          </w:p>
        </w:tc>
        <w:tc>
          <w:tcPr>
            <w:tcW w:w="6322" w:type="dxa"/>
            <w:vAlign w:val="center"/>
          </w:tcPr>
          <w:p w14:paraId="2935C0CB">
            <w:pPr>
              <w:jc w:val="center"/>
              <w:rPr>
                <w:rFonts w:ascii="宋体" w:hAnsi="宋体" w:cs="微软雅黑"/>
                <w:b/>
                <w:color w:val="000000"/>
                <w:szCs w:val="21"/>
              </w:rPr>
            </w:pPr>
            <w:r>
              <w:rPr>
                <w:rFonts w:hint="eastAsia" w:ascii="宋体" w:hAnsi="宋体" w:cs="微软雅黑"/>
                <w:b/>
                <w:color w:val="000000"/>
                <w:szCs w:val="21"/>
              </w:rPr>
              <w:t>评审标准</w:t>
            </w:r>
          </w:p>
        </w:tc>
        <w:tc>
          <w:tcPr>
            <w:tcW w:w="1271" w:type="dxa"/>
            <w:vAlign w:val="center"/>
          </w:tcPr>
          <w:p w14:paraId="2FF1A212">
            <w:pPr>
              <w:jc w:val="center"/>
              <w:rPr>
                <w:rFonts w:ascii="宋体" w:hAnsi="宋体" w:cs="微软雅黑"/>
                <w:b/>
                <w:color w:val="000000"/>
                <w:szCs w:val="21"/>
              </w:rPr>
            </w:pPr>
            <w:r>
              <w:rPr>
                <w:rFonts w:hint="eastAsia" w:ascii="宋体" w:hAnsi="宋体" w:cs="微软雅黑"/>
                <w:b/>
                <w:color w:val="000000"/>
                <w:szCs w:val="21"/>
              </w:rPr>
              <w:t>分值</w:t>
            </w:r>
          </w:p>
        </w:tc>
      </w:tr>
      <w:tr w14:paraId="4BC87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9192" w:type="dxa"/>
            <w:gridSpan w:val="3"/>
            <w:vAlign w:val="center"/>
          </w:tcPr>
          <w:p w14:paraId="51A1D595">
            <w:pPr>
              <w:jc w:val="center"/>
              <w:rPr>
                <w:rFonts w:ascii="宋体" w:hAnsi="宋体" w:cs="微软雅黑"/>
                <w:b/>
                <w:szCs w:val="21"/>
              </w:rPr>
            </w:pPr>
            <w:r>
              <w:rPr>
                <w:rFonts w:hint="eastAsia" w:ascii="宋体" w:hAnsi="宋体" w:cs="微软雅黑"/>
                <w:b/>
                <w:szCs w:val="21"/>
              </w:rPr>
              <w:t>商务分（3</w:t>
            </w:r>
            <w:r>
              <w:rPr>
                <w:rFonts w:ascii="宋体" w:hAnsi="宋体" w:cs="微软雅黑"/>
                <w:b/>
                <w:szCs w:val="21"/>
              </w:rPr>
              <w:t>0</w:t>
            </w:r>
            <w:r>
              <w:rPr>
                <w:rFonts w:hint="eastAsia" w:ascii="宋体" w:hAnsi="宋体" w:cs="微软雅黑"/>
                <w:b/>
                <w:szCs w:val="21"/>
              </w:rPr>
              <w:t>分）</w:t>
            </w:r>
          </w:p>
        </w:tc>
      </w:tr>
      <w:tr w14:paraId="59C7B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599" w:type="dxa"/>
            <w:vAlign w:val="center"/>
          </w:tcPr>
          <w:p w14:paraId="17AEA823">
            <w:pPr>
              <w:jc w:val="center"/>
              <w:rPr>
                <w:rFonts w:ascii="宋体" w:hAnsi="宋体" w:cs="微软雅黑"/>
                <w:szCs w:val="21"/>
              </w:rPr>
            </w:pPr>
            <w:r>
              <w:rPr>
                <w:rFonts w:hint="eastAsia" w:ascii="宋体" w:hAnsi="宋体" w:cs="微软雅黑"/>
                <w:szCs w:val="21"/>
              </w:rPr>
              <w:t>企业资质</w:t>
            </w:r>
          </w:p>
        </w:tc>
        <w:tc>
          <w:tcPr>
            <w:tcW w:w="6322" w:type="dxa"/>
            <w:vAlign w:val="center"/>
          </w:tcPr>
          <w:p w14:paraId="3D3E1C61">
            <w:pPr>
              <w:rPr>
                <w:rFonts w:ascii="宋体" w:hAnsi="宋体"/>
                <w:szCs w:val="21"/>
              </w:rPr>
            </w:pPr>
            <w:r>
              <w:rPr>
                <w:rFonts w:ascii="宋体" w:hAnsi="宋体"/>
                <w:szCs w:val="21"/>
              </w:rPr>
              <w:t>投标人</w:t>
            </w:r>
            <w:r>
              <w:rPr>
                <w:rFonts w:hint="eastAsia" w:ascii="宋体" w:hAnsi="宋体"/>
                <w:szCs w:val="21"/>
              </w:rPr>
              <w:t>具有</w:t>
            </w:r>
            <w:r>
              <w:rPr>
                <w:rFonts w:ascii="宋体" w:hAnsi="宋体"/>
                <w:szCs w:val="21"/>
              </w:rPr>
              <w:t>体系认证证书</w:t>
            </w:r>
            <w:r>
              <w:rPr>
                <w:rFonts w:hint="eastAsia" w:ascii="宋体" w:hAnsi="宋体" w:cs="宋体"/>
                <w:kern w:val="0"/>
                <w:szCs w:val="21"/>
              </w:rPr>
              <w:t>（证书范围家具类）</w:t>
            </w:r>
            <w:r>
              <w:rPr>
                <w:rFonts w:ascii="宋体" w:hAnsi="宋体"/>
                <w:szCs w:val="21"/>
              </w:rPr>
              <w:t>： 1.质量管理体系认证证书，得</w:t>
            </w:r>
            <w:r>
              <w:rPr>
                <w:rFonts w:hint="eastAsia" w:ascii="宋体" w:hAnsi="宋体"/>
                <w:szCs w:val="21"/>
              </w:rPr>
              <w:t>2</w:t>
            </w:r>
            <w:r>
              <w:rPr>
                <w:rFonts w:ascii="宋体" w:hAnsi="宋体"/>
                <w:szCs w:val="21"/>
              </w:rPr>
              <w:t>分； 2.环境管理体系认证证书，得</w:t>
            </w:r>
            <w:r>
              <w:rPr>
                <w:rFonts w:hint="eastAsia" w:ascii="宋体" w:hAnsi="宋体"/>
                <w:szCs w:val="21"/>
              </w:rPr>
              <w:t>2</w:t>
            </w:r>
            <w:r>
              <w:rPr>
                <w:rFonts w:ascii="宋体" w:hAnsi="宋体"/>
                <w:szCs w:val="21"/>
              </w:rPr>
              <w:t>分； 3.职业健康安全管理体系认证证书，得</w:t>
            </w:r>
            <w:r>
              <w:rPr>
                <w:rFonts w:hint="eastAsia" w:ascii="宋体" w:hAnsi="宋体"/>
                <w:szCs w:val="21"/>
              </w:rPr>
              <w:t>2</w:t>
            </w:r>
            <w:r>
              <w:rPr>
                <w:rFonts w:ascii="宋体" w:hAnsi="宋体"/>
                <w:szCs w:val="21"/>
              </w:rPr>
              <w:t xml:space="preserve">分； </w:t>
            </w:r>
          </w:p>
          <w:p w14:paraId="3567FC71">
            <w:pPr>
              <w:rPr>
                <w:rFonts w:ascii="宋体" w:hAnsi="宋体" w:cs="微软雅黑"/>
                <w:szCs w:val="21"/>
              </w:rPr>
            </w:pPr>
            <w:r>
              <w:rPr>
                <w:rFonts w:ascii="宋体" w:hAnsi="宋体"/>
                <w:szCs w:val="21"/>
              </w:rPr>
              <w:t xml:space="preserve"> 注：须同时提供以上证书扫描件及国家认证认可监督管理委员的“全国认证认可信息公共服务平台”（http://cx.cnca.cn）查询结果截图，不提供不得分，已失效或撤销或暂停的不得分。</w:t>
            </w:r>
          </w:p>
        </w:tc>
        <w:tc>
          <w:tcPr>
            <w:tcW w:w="1271" w:type="dxa"/>
            <w:vAlign w:val="center"/>
          </w:tcPr>
          <w:p w14:paraId="0ACD50C9">
            <w:pPr>
              <w:jc w:val="center"/>
              <w:rPr>
                <w:rFonts w:ascii="宋体" w:hAnsi="宋体" w:cs="微软雅黑"/>
                <w:szCs w:val="21"/>
              </w:rPr>
            </w:pPr>
            <w:r>
              <w:rPr>
                <w:rFonts w:hint="eastAsia" w:ascii="宋体" w:hAnsi="宋体" w:cs="微软雅黑"/>
                <w:szCs w:val="21"/>
              </w:rPr>
              <w:t>6分</w:t>
            </w:r>
          </w:p>
        </w:tc>
      </w:tr>
      <w:tr w14:paraId="51453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599" w:type="dxa"/>
            <w:vAlign w:val="center"/>
          </w:tcPr>
          <w:p w14:paraId="33DED1CD">
            <w:pPr>
              <w:jc w:val="center"/>
              <w:rPr>
                <w:rFonts w:ascii="宋体" w:hAnsi="宋体" w:cs="微软雅黑"/>
                <w:szCs w:val="21"/>
              </w:rPr>
            </w:pPr>
            <w:r>
              <w:rPr>
                <w:rFonts w:hint="eastAsia" w:ascii="宋体" w:hAnsi="宋体" w:cs="宋体"/>
                <w:kern w:val="0"/>
                <w:szCs w:val="21"/>
              </w:rPr>
              <w:t>环保认证</w:t>
            </w:r>
          </w:p>
        </w:tc>
        <w:tc>
          <w:tcPr>
            <w:tcW w:w="6322" w:type="dxa"/>
            <w:vAlign w:val="center"/>
          </w:tcPr>
          <w:p w14:paraId="4D98691D">
            <w:pPr>
              <w:autoSpaceDE w:val="0"/>
              <w:autoSpaceDN w:val="0"/>
              <w:adjustRightInd w:val="0"/>
              <w:jc w:val="left"/>
              <w:rPr>
                <w:rFonts w:ascii="宋体" w:hAnsi="宋体" w:cs="宋体"/>
                <w:kern w:val="0"/>
                <w:szCs w:val="21"/>
              </w:rPr>
            </w:pPr>
            <w:r>
              <w:rPr>
                <w:rFonts w:hint="eastAsia" w:ascii="宋体" w:hAnsi="宋体" w:cs="宋体"/>
                <w:szCs w:val="21"/>
                <w:highlight w:val="white"/>
              </w:rPr>
              <w:t>投标人</w:t>
            </w:r>
            <w:r>
              <w:rPr>
                <w:rFonts w:hint="eastAsia" w:ascii="宋体" w:hAnsi="宋体" w:cs="宋体"/>
                <w:kern w:val="0"/>
                <w:szCs w:val="21"/>
              </w:rPr>
              <w:t>具有</w:t>
            </w:r>
            <w:r>
              <w:rPr>
                <w:rFonts w:ascii="宋体" w:hAnsi="宋体" w:cs="DejaVuSans"/>
                <w:kern w:val="0"/>
                <w:szCs w:val="21"/>
              </w:rPr>
              <w:t>CQC</w:t>
            </w:r>
            <w:r>
              <w:rPr>
                <w:rFonts w:hint="eastAsia" w:ascii="宋体" w:hAnsi="宋体" w:cs="宋体"/>
                <w:kern w:val="0"/>
                <w:szCs w:val="21"/>
              </w:rPr>
              <w:t>中国环保认证证书：产品名称至少包含木制办公家具和金属办公家具，</w:t>
            </w:r>
            <w:r>
              <w:rPr>
                <w:rFonts w:hint="eastAsia" w:ascii="宋体" w:hAnsi="宋体" w:cs="宋体"/>
                <w:szCs w:val="21"/>
              </w:rPr>
              <w:t>得2</w:t>
            </w:r>
            <w:r>
              <w:rPr>
                <w:rFonts w:hint="eastAsia" w:ascii="宋体" w:hAnsi="宋体" w:cs="宋体"/>
                <w:szCs w:val="21"/>
                <w:highlight w:val="white"/>
              </w:rPr>
              <w:t>分，</w:t>
            </w:r>
            <w:r>
              <w:rPr>
                <w:rFonts w:hint="eastAsia" w:ascii="宋体" w:hAnsi="宋体" w:cs="宋体"/>
                <w:kern w:val="0"/>
                <w:szCs w:val="21"/>
              </w:rPr>
              <w:t>没有不得分。</w:t>
            </w:r>
          </w:p>
          <w:p w14:paraId="64B46EBA">
            <w:pPr>
              <w:autoSpaceDE w:val="0"/>
              <w:autoSpaceDN w:val="0"/>
              <w:adjustRightInd w:val="0"/>
              <w:jc w:val="left"/>
              <w:rPr>
                <w:rFonts w:ascii="宋体" w:hAnsi="宋体" w:cs="宋体"/>
                <w:kern w:val="0"/>
                <w:szCs w:val="21"/>
              </w:rPr>
            </w:pPr>
            <w:r>
              <w:rPr>
                <w:rFonts w:hint="eastAsia" w:ascii="宋体" w:hAnsi="宋体" w:cs="宋体"/>
                <w:kern w:val="0"/>
                <w:szCs w:val="21"/>
              </w:rPr>
              <w:t>注：须同时提供以上证书扫描件及国家认证认可监督管理委员会</w:t>
            </w:r>
            <w:r>
              <w:rPr>
                <w:rFonts w:hint="eastAsia" w:ascii="宋体" w:hAnsi="宋体" w:cs="DejaVuSans"/>
                <w:kern w:val="0"/>
                <w:szCs w:val="21"/>
              </w:rPr>
              <w:t>“</w:t>
            </w:r>
            <w:r>
              <w:rPr>
                <w:rFonts w:hint="eastAsia" w:ascii="宋体" w:hAnsi="宋体" w:cs="宋体"/>
                <w:kern w:val="0"/>
                <w:szCs w:val="21"/>
              </w:rPr>
              <w:t>全国认证认可信息公共服务平台</w:t>
            </w:r>
            <w:r>
              <w:rPr>
                <w:rFonts w:hint="eastAsia" w:ascii="宋体" w:hAnsi="宋体" w:cs="DejaVuSans"/>
                <w:kern w:val="0"/>
                <w:szCs w:val="21"/>
              </w:rPr>
              <w:t>”</w:t>
            </w:r>
            <w:r>
              <w:rPr>
                <w:rFonts w:hint="eastAsia" w:ascii="宋体" w:hAnsi="宋体" w:cs="宋体"/>
                <w:kern w:val="0"/>
                <w:szCs w:val="21"/>
              </w:rPr>
              <w:t>（网址</w:t>
            </w:r>
            <w:r>
              <w:rPr>
                <w:rFonts w:ascii="宋体" w:hAnsi="宋体" w:cs="DejaVuSans"/>
                <w:kern w:val="0"/>
                <w:szCs w:val="21"/>
              </w:rPr>
              <w:t>http://cx.cnca.cn/</w:t>
            </w:r>
            <w:r>
              <w:rPr>
                <w:rFonts w:hint="eastAsia" w:ascii="宋体" w:hAnsi="宋体" w:cs="宋体"/>
                <w:kern w:val="0"/>
                <w:szCs w:val="21"/>
              </w:rPr>
              <w:t>）查询结果截图，不提供不得分，已失效或撤销或暂停的不得分。</w:t>
            </w:r>
          </w:p>
        </w:tc>
        <w:tc>
          <w:tcPr>
            <w:tcW w:w="1271" w:type="dxa"/>
            <w:vAlign w:val="center"/>
          </w:tcPr>
          <w:p w14:paraId="4A3EBA90">
            <w:pPr>
              <w:jc w:val="center"/>
              <w:rPr>
                <w:rFonts w:ascii="宋体" w:hAnsi="宋体" w:cs="微软雅黑"/>
                <w:szCs w:val="21"/>
              </w:rPr>
            </w:pPr>
            <w:r>
              <w:rPr>
                <w:rFonts w:hint="eastAsia" w:ascii="宋体" w:hAnsi="宋体" w:cs="宋体"/>
                <w:color w:val="000080"/>
                <w:szCs w:val="21"/>
              </w:rPr>
              <w:t>2</w:t>
            </w:r>
            <w:r>
              <w:rPr>
                <w:rFonts w:hint="eastAsia" w:ascii="宋体" w:hAnsi="宋体" w:cs="宋体"/>
                <w:color w:val="000080"/>
                <w:szCs w:val="21"/>
                <w:highlight w:val="white"/>
              </w:rPr>
              <w:t>分</w:t>
            </w:r>
          </w:p>
        </w:tc>
      </w:tr>
      <w:tr w14:paraId="15605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599" w:type="dxa"/>
            <w:vAlign w:val="center"/>
          </w:tcPr>
          <w:p w14:paraId="2D33232C">
            <w:pPr>
              <w:jc w:val="center"/>
              <w:rPr>
                <w:rFonts w:ascii="宋体" w:hAnsi="宋体" w:cs="微软雅黑"/>
                <w:szCs w:val="21"/>
              </w:rPr>
            </w:pPr>
            <w:r>
              <w:rPr>
                <w:rFonts w:hint="eastAsia" w:ascii="宋体" w:hAnsi="宋体" w:cs="黑体"/>
                <w:kern w:val="0"/>
                <w:szCs w:val="21"/>
              </w:rPr>
              <w:t>环境标志产品认证</w:t>
            </w:r>
          </w:p>
        </w:tc>
        <w:tc>
          <w:tcPr>
            <w:tcW w:w="6322" w:type="dxa"/>
            <w:vAlign w:val="center"/>
          </w:tcPr>
          <w:p w14:paraId="338F3D63">
            <w:pPr>
              <w:rPr>
                <w:rFonts w:ascii="宋体" w:hAnsi="宋体" w:cs="宋体"/>
                <w:kern w:val="0"/>
                <w:szCs w:val="21"/>
              </w:rPr>
            </w:pPr>
            <w:r>
              <w:rPr>
                <w:rFonts w:hint="eastAsia" w:ascii="宋体" w:hAnsi="宋体" w:cs="宋体"/>
                <w:szCs w:val="21"/>
                <w:highlight w:val="white"/>
              </w:rPr>
              <w:t>投标人</w:t>
            </w:r>
            <w:r>
              <w:rPr>
                <w:rFonts w:hint="eastAsia" w:ascii="宋体" w:hAnsi="宋体" w:cs="宋体"/>
                <w:kern w:val="0"/>
                <w:szCs w:val="21"/>
              </w:rPr>
              <w:t>具有</w:t>
            </w:r>
            <w:r>
              <w:rPr>
                <w:rFonts w:hint="eastAsia" w:ascii="宋体" w:hAnsi="宋体" w:cs="黑体"/>
                <w:kern w:val="0"/>
                <w:szCs w:val="21"/>
              </w:rPr>
              <w:t>中国环境标志产品认证证书</w:t>
            </w:r>
            <w:r>
              <w:rPr>
                <w:rFonts w:hint="eastAsia" w:ascii="宋体" w:hAnsi="宋体" w:cs="宋体"/>
                <w:kern w:val="0"/>
                <w:szCs w:val="21"/>
              </w:rPr>
              <w:t>，认证单元：至少包含 人造板类家具和钢木家具，</w:t>
            </w:r>
            <w:r>
              <w:rPr>
                <w:rFonts w:hint="eastAsia" w:ascii="宋体" w:hAnsi="宋体" w:cs="宋体"/>
                <w:szCs w:val="21"/>
                <w:highlight w:val="white"/>
              </w:rPr>
              <w:t>得</w:t>
            </w:r>
            <w:r>
              <w:rPr>
                <w:rFonts w:hint="eastAsia" w:ascii="宋体" w:hAnsi="宋体" w:cs="宋体"/>
                <w:szCs w:val="21"/>
              </w:rPr>
              <w:t>2</w:t>
            </w:r>
            <w:r>
              <w:rPr>
                <w:rFonts w:hint="eastAsia" w:ascii="宋体" w:hAnsi="宋体" w:cs="宋体"/>
                <w:szCs w:val="21"/>
                <w:highlight w:val="white"/>
              </w:rPr>
              <w:t>分</w:t>
            </w:r>
            <w:r>
              <w:rPr>
                <w:rFonts w:hint="eastAsia" w:ascii="宋体" w:hAnsi="宋体" w:cs="黑体"/>
                <w:kern w:val="0"/>
                <w:szCs w:val="21"/>
              </w:rPr>
              <w:t>，</w:t>
            </w:r>
            <w:r>
              <w:rPr>
                <w:rFonts w:hint="eastAsia" w:ascii="宋体" w:hAnsi="宋体" w:cs="宋体"/>
                <w:kern w:val="0"/>
                <w:szCs w:val="21"/>
              </w:rPr>
              <w:t>没有不得分。</w:t>
            </w:r>
          </w:p>
          <w:p w14:paraId="3745D432">
            <w:pPr>
              <w:rPr>
                <w:rFonts w:ascii="宋体" w:hAnsi="宋体" w:cs="宋体"/>
                <w:szCs w:val="21"/>
              </w:rPr>
            </w:pPr>
            <w:r>
              <w:rPr>
                <w:rFonts w:hint="eastAsia" w:ascii="宋体" w:hAnsi="宋体" w:cs="宋体"/>
                <w:kern w:val="0"/>
                <w:szCs w:val="21"/>
              </w:rPr>
              <w:t>注：须同时提供以上证书扫描件及国家认证认可监督管理委员会</w:t>
            </w:r>
            <w:r>
              <w:rPr>
                <w:rFonts w:hint="eastAsia" w:ascii="宋体" w:hAnsi="宋体" w:cs="DejaVuSans"/>
                <w:kern w:val="0"/>
                <w:szCs w:val="21"/>
              </w:rPr>
              <w:t>“</w:t>
            </w:r>
            <w:r>
              <w:rPr>
                <w:rFonts w:hint="eastAsia" w:ascii="宋体" w:hAnsi="宋体" w:cs="宋体"/>
                <w:kern w:val="0"/>
                <w:szCs w:val="21"/>
              </w:rPr>
              <w:t>全国认证认可信息公共服务平台</w:t>
            </w:r>
            <w:r>
              <w:rPr>
                <w:rFonts w:hint="eastAsia" w:ascii="宋体" w:hAnsi="宋体" w:cs="DejaVuSans"/>
                <w:kern w:val="0"/>
                <w:szCs w:val="21"/>
              </w:rPr>
              <w:t>”</w:t>
            </w:r>
            <w:r>
              <w:rPr>
                <w:rFonts w:hint="eastAsia" w:ascii="宋体" w:hAnsi="宋体" w:cs="宋体"/>
                <w:kern w:val="0"/>
                <w:szCs w:val="21"/>
              </w:rPr>
              <w:t>（网址</w:t>
            </w:r>
            <w:r>
              <w:rPr>
                <w:rFonts w:ascii="宋体" w:hAnsi="宋体" w:cs="DejaVuSans"/>
                <w:kern w:val="0"/>
                <w:szCs w:val="21"/>
              </w:rPr>
              <w:t>http://cx.cnca.cn/</w:t>
            </w:r>
            <w:r>
              <w:rPr>
                <w:rFonts w:hint="eastAsia" w:ascii="宋体" w:hAnsi="宋体" w:cs="宋体"/>
                <w:kern w:val="0"/>
                <w:szCs w:val="21"/>
              </w:rPr>
              <w:t>）查询结果截图，不提供不得分，已失效或撤销或暂停的不得分。</w:t>
            </w:r>
          </w:p>
        </w:tc>
        <w:tc>
          <w:tcPr>
            <w:tcW w:w="1271" w:type="dxa"/>
            <w:vAlign w:val="center"/>
          </w:tcPr>
          <w:p w14:paraId="7EA1A275">
            <w:pPr>
              <w:jc w:val="center"/>
              <w:rPr>
                <w:rFonts w:ascii="宋体" w:hAnsi="宋体" w:cs="微软雅黑"/>
                <w:szCs w:val="21"/>
              </w:rPr>
            </w:pPr>
            <w:r>
              <w:rPr>
                <w:rFonts w:hint="eastAsia" w:ascii="宋体" w:hAnsi="宋体" w:cs="微软雅黑"/>
                <w:szCs w:val="21"/>
              </w:rPr>
              <w:t>2分</w:t>
            </w:r>
          </w:p>
        </w:tc>
      </w:tr>
      <w:tr w14:paraId="17321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599" w:type="dxa"/>
            <w:vAlign w:val="center"/>
          </w:tcPr>
          <w:p w14:paraId="0D2A9E17">
            <w:pPr>
              <w:jc w:val="center"/>
              <w:rPr>
                <w:rFonts w:ascii="宋体" w:hAnsi="宋体" w:cs="微软雅黑"/>
                <w:color w:val="000000"/>
                <w:szCs w:val="21"/>
              </w:rPr>
            </w:pPr>
            <w:r>
              <w:rPr>
                <w:rFonts w:hint="eastAsia" w:ascii="宋体" w:hAnsi="宋体" w:cs="微软雅黑"/>
                <w:szCs w:val="21"/>
              </w:rPr>
              <w:t>业绩</w:t>
            </w:r>
          </w:p>
        </w:tc>
        <w:tc>
          <w:tcPr>
            <w:tcW w:w="6322" w:type="dxa"/>
            <w:vAlign w:val="center"/>
          </w:tcPr>
          <w:p w14:paraId="002684A3">
            <w:pPr>
              <w:rPr>
                <w:rFonts w:ascii="宋体" w:hAnsi="宋体" w:cs="宋体"/>
                <w:szCs w:val="21"/>
              </w:rPr>
            </w:pPr>
            <w:r>
              <w:rPr>
                <w:rFonts w:hint="eastAsia" w:ascii="宋体" w:hAnsi="宋体" w:cs="宋体"/>
                <w:szCs w:val="21"/>
              </w:rPr>
              <w:t>投标人具有2021年以来完成的同类项目采购业绩合同：每提供一份得1分，满分5分。</w:t>
            </w:r>
          </w:p>
          <w:p w14:paraId="33D84F26">
            <w:pPr>
              <w:rPr>
                <w:rFonts w:ascii="宋体" w:hAnsi="宋体" w:cs="微软雅黑"/>
                <w:color w:val="000000"/>
                <w:szCs w:val="21"/>
              </w:rPr>
            </w:pPr>
            <w:r>
              <w:rPr>
                <w:rFonts w:hint="eastAsia" w:ascii="宋体" w:hAnsi="宋体" w:cs="宋体"/>
                <w:szCs w:val="21"/>
              </w:rPr>
              <w:t>注：投标人提供采购合同（至少含首页、金额页、签字页）扫描件，否则业绩不予认可，</w:t>
            </w:r>
            <w:r>
              <w:rPr>
                <w:rFonts w:hint="eastAsia" w:ascii="宋体" w:hAnsi="宋体" w:cs="微软雅黑"/>
                <w:szCs w:val="21"/>
              </w:rPr>
              <w:t>提供合同复印件或政府采购云平台交易中标记录。</w:t>
            </w:r>
          </w:p>
        </w:tc>
        <w:tc>
          <w:tcPr>
            <w:tcW w:w="1271" w:type="dxa"/>
            <w:vAlign w:val="center"/>
          </w:tcPr>
          <w:p w14:paraId="60DDB167">
            <w:pPr>
              <w:jc w:val="center"/>
              <w:rPr>
                <w:rFonts w:ascii="宋体" w:hAnsi="宋体" w:cs="微软雅黑"/>
                <w:szCs w:val="21"/>
              </w:rPr>
            </w:pPr>
            <w:r>
              <w:rPr>
                <w:rFonts w:hint="eastAsia" w:ascii="宋体" w:hAnsi="宋体" w:cs="微软雅黑"/>
                <w:szCs w:val="21"/>
              </w:rPr>
              <w:t>5分</w:t>
            </w:r>
          </w:p>
        </w:tc>
      </w:tr>
      <w:tr w14:paraId="3E70E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599" w:type="dxa"/>
            <w:vAlign w:val="center"/>
          </w:tcPr>
          <w:p w14:paraId="774F32D0">
            <w:pPr>
              <w:jc w:val="center"/>
              <w:rPr>
                <w:rFonts w:ascii="宋体" w:hAnsi="宋体" w:cs="宋体"/>
                <w:szCs w:val="21"/>
              </w:rPr>
            </w:pPr>
            <w:r>
              <w:rPr>
                <w:rFonts w:hint="eastAsia" w:ascii="宋体" w:hAnsi="宋体" w:cs="宋体"/>
                <w:szCs w:val="21"/>
              </w:rPr>
              <w:t>原材料质量及五金配件</w:t>
            </w:r>
          </w:p>
        </w:tc>
        <w:tc>
          <w:tcPr>
            <w:tcW w:w="6322" w:type="dxa"/>
            <w:vAlign w:val="center"/>
          </w:tcPr>
          <w:p w14:paraId="51EF4885">
            <w:pPr>
              <w:rPr>
                <w:rFonts w:hint="eastAsia" w:ascii="宋体" w:hAnsi="宋体"/>
                <w:szCs w:val="21"/>
              </w:rPr>
            </w:pPr>
            <w:r>
              <w:rPr>
                <w:rFonts w:hint="eastAsia" w:ascii="宋体" w:hAnsi="宋体"/>
                <w:szCs w:val="21"/>
              </w:rPr>
              <w:t>投标人自2021年来的原材料检测报告：1. 多层实木板；2. PVC封边条；3. 白蜡木；4. 实木封边条；5. PP材料；6. 海绵；7. 冷轧钢板；8拉手；9. 三合一偏心连接件；10. 自攻螺丝；11. 柜锁；12.钢管；13. 气压棒；14.喷涂涂料；15. 木工胶</w:t>
            </w:r>
          </w:p>
          <w:p w14:paraId="2462CB04">
            <w:pPr>
              <w:rPr>
                <w:rFonts w:hint="eastAsia" w:ascii="宋体" w:hAnsi="宋体"/>
                <w:szCs w:val="21"/>
              </w:rPr>
            </w:pPr>
            <w:r>
              <w:rPr>
                <w:rFonts w:hint="eastAsia" w:ascii="宋体" w:hAnsi="宋体"/>
                <w:szCs w:val="21"/>
              </w:rPr>
              <w:t>注：提供检测报告复印件加盖投标人公章，每提供一个合格且符合要求的检测报告，得1分，最高得15分。</w:t>
            </w:r>
          </w:p>
          <w:p w14:paraId="077C4EA5">
            <w:pPr>
              <w:rPr>
                <w:rFonts w:ascii="宋体" w:hAnsi="宋体"/>
                <w:szCs w:val="21"/>
              </w:rPr>
            </w:pPr>
            <w:r>
              <w:rPr>
                <w:rFonts w:hint="eastAsia" w:ascii="宋体" w:hAnsi="宋体"/>
                <w:szCs w:val="21"/>
              </w:rPr>
              <w:t>注：检测报告的执行标准及数值符合要求且由国家认可的第三方检测机构颁发的，需提供颁发机构官方网站所公示的检测报告公示信息截图及查询网址，否则不得分。</w:t>
            </w:r>
          </w:p>
        </w:tc>
        <w:tc>
          <w:tcPr>
            <w:tcW w:w="1271" w:type="dxa"/>
            <w:vAlign w:val="center"/>
          </w:tcPr>
          <w:p w14:paraId="774FCBD7">
            <w:pPr>
              <w:jc w:val="center"/>
              <w:rPr>
                <w:rFonts w:ascii="宋体" w:hAnsi="宋体"/>
                <w:szCs w:val="21"/>
              </w:rPr>
            </w:pPr>
            <w:r>
              <w:rPr>
                <w:rFonts w:hint="eastAsia" w:ascii="宋体" w:hAnsi="宋体"/>
                <w:szCs w:val="21"/>
              </w:rPr>
              <w:t>15分</w:t>
            </w:r>
          </w:p>
        </w:tc>
      </w:tr>
      <w:tr w14:paraId="0F469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9192" w:type="dxa"/>
            <w:gridSpan w:val="3"/>
            <w:vAlign w:val="center"/>
          </w:tcPr>
          <w:p w14:paraId="36B4F593">
            <w:pPr>
              <w:jc w:val="center"/>
              <w:rPr>
                <w:rFonts w:ascii="宋体" w:hAnsi="宋体" w:cs="微软雅黑"/>
                <w:b/>
                <w:bCs/>
                <w:color w:val="000000"/>
                <w:szCs w:val="21"/>
              </w:rPr>
            </w:pPr>
            <w:r>
              <w:rPr>
                <w:rFonts w:hint="eastAsia" w:ascii="宋体" w:hAnsi="宋体" w:cs="宋体"/>
                <w:b/>
                <w:bCs/>
                <w:szCs w:val="21"/>
              </w:rPr>
              <w:t>技术分</w:t>
            </w:r>
            <w:r>
              <w:rPr>
                <w:rFonts w:hint="eastAsia" w:ascii="宋体" w:hAnsi="宋体" w:cs="微软雅黑"/>
                <w:b/>
                <w:szCs w:val="21"/>
              </w:rPr>
              <w:t>（4</w:t>
            </w:r>
            <w:r>
              <w:rPr>
                <w:rFonts w:ascii="宋体" w:hAnsi="宋体" w:cs="微软雅黑"/>
                <w:b/>
                <w:szCs w:val="21"/>
              </w:rPr>
              <w:t>0</w:t>
            </w:r>
            <w:r>
              <w:rPr>
                <w:rFonts w:hint="eastAsia" w:ascii="宋体" w:hAnsi="宋体" w:cs="微软雅黑"/>
                <w:b/>
                <w:szCs w:val="21"/>
              </w:rPr>
              <w:t>分）</w:t>
            </w:r>
          </w:p>
        </w:tc>
      </w:tr>
      <w:tr w14:paraId="4F7D5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599" w:type="dxa"/>
            <w:vAlign w:val="center"/>
          </w:tcPr>
          <w:p w14:paraId="2B22F15C">
            <w:pPr>
              <w:jc w:val="center"/>
              <w:rPr>
                <w:rFonts w:ascii="宋体" w:hAnsi="宋体" w:cs="宋体"/>
                <w:szCs w:val="21"/>
              </w:rPr>
            </w:pPr>
            <w:r>
              <w:rPr>
                <w:rFonts w:hint="eastAsia" w:ascii="宋体" w:hAnsi="宋体" w:cs="宋体"/>
                <w:szCs w:val="21"/>
              </w:rPr>
              <w:t>设计方案</w:t>
            </w:r>
          </w:p>
        </w:tc>
        <w:tc>
          <w:tcPr>
            <w:tcW w:w="6322" w:type="dxa"/>
            <w:vAlign w:val="center"/>
          </w:tcPr>
          <w:p w14:paraId="19BA0F59">
            <w:pPr>
              <w:rPr>
                <w:rFonts w:ascii="宋体" w:hAnsi="宋体"/>
                <w:szCs w:val="21"/>
              </w:rPr>
            </w:pPr>
            <w:r>
              <w:rPr>
                <w:rFonts w:hint="eastAsia" w:ascii="宋体" w:hAnsi="宋体"/>
                <w:szCs w:val="21"/>
              </w:rPr>
              <w:t>投标人根据采购人采购需求物品清单，进行深化设计（包含款式、使用功能、整体环境搭配效果图</w:t>
            </w:r>
            <w:r>
              <w:rPr>
                <w:rFonts w:ascii="宋体" w:hAnsi="宋体"/>
                <w:szCs w:val="21"/>
              </w:rPr>
              <w:t>等方面</w:t>
            </w:r>
            <w:r>
              <w:rPr>
                <w:rFonts w:hint="eastAsia" w:ascii="宋体" w:hAnsi="宋体"/>
                <w:szCs w:val="21"/>
              </w:rPr>
              <w:t>）</w:t>
            </w:r>
            <w:r>
              <w:rPr>
                <w:rFonts w:ascii="宋体" w:hAnsi="宋体"/>
                <w:szCs w:val="21"/>
              </w:rPr>
              <w:t>进行评审。</w:t>
            </w:r>
          </w:p>
          <w:p w14:paraId="11A4B580">
            <w:pPr>
              <w:rPr>
                <w:rFonts w:ascii="宋体" w:hAnsi="宋体"/>
                <w:szCs w:val="21"/>
              </w:rPr>
            </w:pPr>
            <w:r>
              <w:rPr>
                <w:rFonts w:ascii="宋体" w:hAnsi="宋体"/>
                <w:szCs w:val="21"/>
              </w:rPr>
              <w:t>提供的</w:t>
            </w:r>
            <w:r>
              <w:rPr>
                <w:rFonts w:hint="eastAsia" w:ascii="宋体" w:hAnsi="宋体" w:cs="宋体"/>
                <w:szCs w:val="21"/>
              </w:rPr>
              <w:t>设计</w:t>
            </w:r>
            <w:r>
              <w:rPr>
                <w:rFonts w:ascii="宋体" w:hAnsi="宋体"/>
                <w:szCs w:val="21"/>
              </w:rPr>
              <w:t>方案：优的，得</w:t>
            </w:r>
            <w:r>
              <w:rPr>
                <w:rFonts w:hint="eastAsia" w:ascii="宋体" w:hAnsi="宋体"/>
                <w:szCs w:val="21"/>
              </w:rPr>
              <w:t>10</w:t>
            </w:r>
            <w:r>
              <w:rPr>
                <w:rFonts w:ascii="宋体" w:hAnsi="宋体"/>
                <w:szCs w:val="21"/>
              </w:rPr>
              <w:t xml:space="preserve">分。 </w:t>
            </w:r>
          </w:p>
          <w:p w14:paraId="1C90DDF4">
            <w:pPr>
              <w:rPr>
                <w:rFonts w:ascii="宋体" w:hAnsi="宋体"/>
                <w:szCs w:val="21"/>
              </w:rPr>
            </w:pPr>
            <w:r>
              <w:rPr>
                <w:rFonts w:ascii="宋体" w:hAnsi="宋体"/>
                <w:szCs w:val="21"/>
              </w:rPr>
              <w:t>提供的</w:t>
            </w:r>
            <w:r>
              <w:rPr>
                <w:rFonts w:hint="eastAsia" w:ascii="宋体" w:hAnsi="宋体" w:cs="宋体"/>
                <w:szCs w:val="21"/>
              </w:rPr>
              <w:t>设计</w:t>
            </w:r>
            <w:r>
              <w:rPr>
                <w:rFonts w:ascii="宋体" w:hAnsi="宋体"/>
                <w:szCs w:val="21"/>
              </w:rPr>
              <w:t>方案：良的，得</w:t>
            </w:r>
            <w:r>
              <w:rPr>
                <w:rFonts w:hint="eastAsia" w:ascii="宋体" w:hAnsi="宋体"/>
                <w:szCs w:val="21"/>
              </w:rPr>
              <w:t>6</w:t>
            </w:r>
            <w:r>
              <w:rPr>
                <w:rFonts w:ascii="宋体" w:hAnsi="宋体"/>
                <w:szCs w:val="21"/>
              </w:rPr>
              <w:t xml:space="preserve">分。 </w:t>
            </w:r>
          </w:p>
          <w:p w14:paraId="2ED77555">
            <w:pPr>
              <w:rPr>
                <w:rFonts w:ascii="宋体" w:hAnsi="宋体"/>
                <w:szCs w:val="21"/>
              </w:rPr>
            </w:pPr>
            <w:r>
              <w:rPr>
                <w:rFonts w:ascii="宋体" w:hAnsi="宋体"/>
                <w:szCs w:val="21"/>
              </w:rPr>
              <w:t>提供的</w:t>
            </w:r>
            <w:r>
              <w:rPr>
                <w:rFonts w:hint="eastAsia" w:ascii="宋体" w:hAnsi="宋体" w:cs="宋体"/>
                <w:szCs w:val="21"/>
              </w:rPr>
              <w:t>设计</w:t>
            </w:r>
            <w:r>
              <w:rPr>
                <w:rFonts w:ascii="宋体" w:hAnsi="宋体"/>
                <w:szCs w:val="21"/>
              </w:rPr>
              <w:t>方案：</w:t>
            </w:r>
            <w:r>
              <w:rPr>
                <w:rFonts w:hint="eastAsia" w:ascii="宋体" w:hAnsi="宋体"/>
                <w:szCs w:val="21"/>
              </w:rPr>
              <w:t>一般</w:t>
            </w:r>
            <w:r>
              <w:rPr>
                <w:rFonts w:ascii="宋体" w:hAnsi="宋体"/>
                <w:szCs w:val="21"/>
              </w:rPr>
              <w:t>的，得</w:t>
            </w:r>
            <w:r>
              <w:rPr>
                <w:rFonts w:hint="eastAsia" w:ascii="宋体" w:hAnsi="宋体"/>
                <w:szCs w:val="21"/>
              </w:rPr>
              <w:t>2</w:t>
            </w:r>
            <w:r>
              <w:rPr>
                <w:rFonts w:ascii="宋体" w:hAnsi="宋体"/>
                <w:szCs w:val="21"/>
              </w:rPr>
              <w:t>分。</w:t>
            </w:r>
          </w:p>
          <w:p w14:paraId="64D75157">
            <w:pPr>
              <w:rPr>
                <w:rFonts w:ascii="宋体" w:hAnsi="宋体"/>
                <w:szCs w:val="21"/>
              </w:rPr>
            </w:pPr>
            <w:r>
              <w:rPr>
                <w:rFonts w:ascii="宋体" w:hAnsi="宋体"/>
                <w:szCs w:val="21"/>
              </w:rPr>
              <w:t>提供的</w:t>
            </w:r>
            <w:r>
              <w:rPr>
                <w:rFonts w:hint="eastAsia" w:ascii="宋体" w:hAnsi="宋体" w:cs="宋体"/>
                <w:szCs w:val="21"/>
              </w:rPr>
              <w:t>设计</w:t>
            </w:r>
            <w:r>
              <w:rPr>
                <w:rFonts w:ascii="宋体" w:hAnsi="宋体"/>
                <w:szCs w:val="21"/>
              </w:rPr>
              <w:t>方案：</w:t>
            </w:r>
            <w:r>
              <w:rPr>
                <w:rFonts w:hint="eastAsia" w:ascii="宋体" w:hAnsi="宋体"/>
                <w:szCs w:val="21"/>
              </w:rPr>
              <w:t>差的，</w:t>
            </w:r>
            <w:r>
              <w:rPr>
                <w:rFonts w:ascii="宋体" w:hAnsi="宋体"/>
                <w:szCs w:val="21"/>
              </w:rPr>
              <w:t>0分。</w:t>
            </w:r>
          </w:p>
        </w:tc>
        <w:tc>
          <w:tcPr>
            <w:tcW w:w="1271" w:type="dxa"/>
            <w:vAlign w:val="center"/>
          </w:tcPr>
          <w:p w14:paraId="57BBA541">
            <w:pPr>
              <w:jc w:val="center"/>
              <w:rPr>
                <w:rFonts w:ascii="宋体" w:hAnsi="宋体"/>
                <w:szCs w:val="21"/>
              </w:rPr>
            </w:pPr>
            <w:r>
              <w:rPr>
                <w:rFonts w:hint="eastAsia" w:ascii="宋体" w:hAnsi="宋体"/>
                <w:szCs w:val="21"/>
              </w:rPr>
              <w:t>10分</w:t>
            </w:r>
          </w:p>
        </w:tc>
      </w:tr>
      <w:tr w14:paraId="7AA2F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599" w:type="dxa"/>
            <w:vAlign w:val="center"/>
          </w:tcPr>
          <w:p w14:paraId="5CFBE73D">
            <w:pPr>
              <w:jc w:val="center"/>
              <w:rPr>
                <w:rFonts w:ascii="宋体" w:hAnsi="宋体" w:cs="宋体"/>
                <w:szCs w:val="21"/>
              </w:rPr>
            </w:pPr>
            <w:r>
              <w:rPr>
                <w:rFonts w:ascii="宋体" w:hAnsi="宋体"/>
                <w:szCs w:val="21"/>
              </w:rPr>
              <w:t>项目实施方案</w:t>
            </w:r>
          </w:p>
        </w:tc>
        <w:tc>
          <w:tcPr>
            <w:tcW w:w="6322" w:type="dxa"/>
            <w:vAlign w:val="center"/>
          </w:tcPr>
          <w:p w14:paraId="06A1E12A">
            <w:pPr>
              <w:rPr>
                <w:rFonts w:ascii="宋体" w:hAnsi="宋体"/>
                <w:szCs w:val="21"/>
              </w:rPr>
            </w:pPr>
            <w:r>
              <w:rPr>
                <w:rFonts w:ascii="宋体" w:hAnsi="宋体"/>
                <w:szCs w:val="21"/>
              </w:rPr>
              <w:t>根据投标人提供的实施方案（包含项目的人员安排、进度计划、验收标准</w:t>
            </w:r>
            <w:r>
              <w:rPr>
                <w:rFonts w:hint="eastAsia" w:ascii="宋体" w:hAnsi="宋体"/>
                <w:szCs w:val="21"/>
              </w:rPr>
              <w:t xml:space="preserve"> </w:t>
            </w:r>
            <w:r>
              <w:rPr>
                <w:rFonts w:ascii="宋体" w:hAnsi="宋体"/>
                <w:szCs w:val="21"/>
              </w:rPr>
              <w:t>等方面)进行评审。</w:t>
            </w:r>
          </w:p>
          <w:p w14:paraId="339D2879">
            <w:pPr>
              <w:rPr>
                <w:rFonts w:ascii="宋体" w:hAnsi="宋体"/>
                <w:szCs w:val="21"/>
              </w:rPr>
            </w:pPr>
            <w:r>
              <w:rPr>
                <w:rFonts w:ascii="宋体" w:hAnsi="宋体"/>
                <w:szCs w:val="21"/>
              </w:rPr>
              <w:t>提供的实施方案：优的，得</w:t>
            </w:r>
            <w:r>
              <w:rPr>
                <w:rFonts w:hint="eastAsia" w:ascii="宋体" w:hAnsi="宋体"/>
                <w:szCs w:val="21"/>
              </w:rPr>
              <w:t>10</w:t>
            </w:r>
            <w:r>
              <w:rPr>
                <w:rFonts w:ascii="宋体" w:hAnsi="宋体"/>
                <w:szCs w:val="21"/>
              </w:rPr>
              <w:t xml:space="preserve">分。 </w:t>
            </w:r>
          </w:p>
          <w:p w14:paraId="25592830">
            <w:pPr>
              <w:rPr>
                <w:rFonts w:ascii="宋体" w:hAnsi="宋体"/>
                <w:szCs w:val="21"/>
              </w:rPr>
            </w:pPr>
            <w:r>
              <w:rPr>
                <w:rFonts w:ascii="宋体" w:hAnsi="宋体"/>
                <w:szCs w:val="21"/>
              </w:rPr>
              <w:t>提供的实施方案：良的，得</w:t>
            </w:r>
            <w:r>
              <w:rPr>
                <w:rFonts w:hint="eastAsia" w:ascii="宋体" w:hAnsi="宋体"/>
                <w:szCs w:val="21"/>
              </w:rPr>
              <w:t>6</w:t>
            </w:r>
            <w:r>
              <w:rPr>
                <w:rFonts w:ascii="宋体" w:hAnsi="宋体"/>
                <w:szCs w:val="21"/>
              </w:rPr>
              <w:t xml:space="preserve">分。 </w:t>
            </w:r>
          </w:p>
          <w:p w14:paraId="730E2301">
            <w:pPr>
              <w:rPr>
                <w:rFonts w:ascii="宋体" w:hAnsi="宋体"/>
                <w:szCs w:val="21"/>
              </w:rPr>
            </w:pPr>
            <w:r>
              <w:rPr>
                <w:rFonts w:ascii="宋体" w:hAnsi="宋体"/>
                <w:szCs w:val="21"/>
              </w:rPr>
              <w:t>提供的实施方案：</w:t>
            </w:r>
            <w:r>
              <w:rPr>
                <w:rFonts w:hint="eastAsia" w:ascii="宋体" w:hAnsi="宋体"/>
                <w:szCs w:val="21"/>
              </w:rPr>
              <w:t>一般</w:t>
            </w:r>
            <w:r>
              <w:rPr>
                <w:rFonts w:ascii="宋体" w:hAnsi="宋体"/>
                <w:szCs w:val="21"/>
              </w:rPr>
              <w:t>的，得</w:t>
            </w:r>
            <w:r>
              <w:rPr>
                <w:rFonts w:hint="eastAsia" w:ascii="宋体" w:hAnsi="宋体"/>
                <w:szCs w:val="21"/>
              </w:rPr>
              <w:t>2</w:t>
            </w:r>
            <w:r>
              <w:rPr>
                <w:rFonts w:ascii="宋体" w:hAnsi="宋体"/>
                <w:szCs w:val="21"/>
              </w:rPr>
              <w:t>分。</w:t>
            </w:r>
          </w:p>
          <w:p w14:paraId="148FC9F6">
            <w:pPr>
              <w:rPr>
                <w:rFonts w:ascii="宋体" w:hAnsi="宋体"/>
                <w:szCs w:val="21"/>
              </w:rPr>
            </w:pPr>
            <w:r>
              <w:rPr>
                <w:rFonts w:ascii="宋体" w:hAnsi="宋体"/>
                <w:szCs w:val="21"/>
              </w:rPr>
              <w:t>提供的实施方案：</w:t>
            </w:r>
            <w:r>
              <w:rPr>
                <w:rFonts w:hint="eastAsia" w:ascii="宋体" w:hAnsi="宋体"/>
                <w:szCs w:val="21"/>
              </w:rPr>
              <w:t>差的，</w:t>
            </w:r>
            <w:r>
              <w:rPr>
                <w:rFonts w:ascii="宋体" w:hAnsi="宋体"/>
                <w:szCs w:val="21"/>
              </w:rPr>
              <w:t>0分。</w:t>
            </w:r>
          </w:p>
        </w:tc>
        <w:tc>
          <w:tcPr>
            <w:tcW w:w="1271" w:type="dxa"/>
            <w:vAlign w:val="center"/>
          </w:tcPr>
          <w:p w14:paraId="15AE5C30">
            <w:pPr>
              <w:jc w:val="center"/>
              <w:rPr>
                <w:rFonts w:ascii="宋体" w:hAnsi="宋体"/>
                <w:szCs w:val="21"/>
              </w:rPr>
            </w:pPr>
            <w:r>
              <w:rPr>
                <w:rFonts w:hint="eastAsia" w:ascii="宋体" w:hAnsi="宋体"/>
                <w:szCs w:val="21"/>
              </w:rPr>
              <w:t>10分</w:t>
            </w:r>
          </w:p>
        </w:tc>
      </w:tr>
      <w:tr w14:paraId="30C19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599" w:type="dxa"/>
            <w:vAlign w:val="center"/>
          </w:tcPr>
          <w:p w14:paraId="24F7D877">
            <w:pPr>
              <w:jc w:val="center"/>
              <w:rPr>
                <w:rFonts w:ascii="宋体" w:hAnsi="宋体" w:cs="宋体"/>
                <w:szCs w:val="21"/>
              </w:rPr>
            </w:pPr>
            <w:r>
              <w:rPr>
                <w:rFonts w:ascii="宋体" w:hAnsi="宋体"/>
                <w:szCs w:val="21"/>
              </w:rPr>
              <w:t>品质管理管控</w:t>
            </w:r>
          </w:p>
        </w:tc>
        <w:tc>
          <w:tcPr>
            <w:tcW w:w="6322" w:type="dxa"/>
            <w:vAlign w:val="center"/>
          </w:tcPr>
          <w:p w14:paraId="66586B65">
            <w:pPr>
              <w:rPr>
                <w:rFonts w:ascii="宋体" w:hAnsi="宋体"/>
                <w:szCs w:val="21"/>
              </w:rPr>
            </w:pPr>
            <w:r>
              <w:rPr>
                <w:rFonts w:ascii="宋体" w:hAnsi="宋体"/>
                <w:szCs w:val="21"/>
              </w:rPr>
              <w:t>根据投标人提供的品质管理管控方案（包含管控工作计划、安全管理体系制度、不合格品控制等方面）进行评审：</w:t>
            </w:r>
          </w:p>
          <w:p w14:paraId="4127DAA2">
            <w:pPr>
              <w:rPr>
                <w:rFonts w:ascii="宋体" w:hAnsi="宋体"/>
                <w:szCs w:val="21"/>
              </w:rPr>
            </w:pPr>
            <w:r>
              <w:rPr>
                <w:rFonts w:ascii="宋体" w:hAnsi="宋体"/>
                <w:szCs w:val="21"/>
              </w:rPr>
              <w:t>提供的品质管理管控方案：优的，得</w:t>
            </w:r>
            <w:r>
              <w:rPr>
                <w:rFonts w:hint="eastAsia" w:ascii="宋体" w:hAnsi="宋体"/>
                <w:szCs w:val="21"/>
              </w:rPr>
              <w:t>10</w:t>
            </w:r>
            <w:r>
              <w:rPr>
                <w:rFonts w:ascii="宋体" w:hAnsi="宋体"/>
                <w:szCs w:val="21"/>
              </w:rPr>
              <w:t xml:space="preserve">分。 </w:t>
            </w:r>
          </w:p>
          <w:p w14:paraId="7ACAA2EE">
            <w:pPr>
              <w:rPr>
                <w:rFonts w:ascii="宋体" w:hAnsi="宋体"/>
                <w:szCs w:val="21"/>
              </w:rPr>
            </w:pPr>
            <w:r>
              <w:rPr>
                <w:rFonts w:ascii="宋体" w:hAnsi="宋体"/>
                <w:szCs w:val="21"/>
              </w:rPr>
              <w:t>提供的品质管理管控方案：良的，得</w:t>
            </w:r>
            <w:r>
              <w:rPr>
                <w:rFonts w:hint="eastAsia" w:ascii="宋体" w:hAnsi="宋体"/>
                <w:szCs w:val="21"/>
              </w:rPr>
              <w:t>6</w:t>
            </w:r>
            <w:r>
              <w:rPr>
                <w:rFonts w:ascii="宋体" w:hAnsi="宋体"/>
                <w:szCs w:val="21"/>
              </w:rPr>
              <w:t xml:space="preserve">分。 </w:t>
            </w:r>
          </w:p>
          <w:p w14:paraId="3BD4183A">
            <w:pPr>
              <w:rPr>
                <w:rFonts w:ascii="宋体" w:hAnsi="宋体"/>
                <w:szCs w:val="21"/>
              </w:rPr>
            </w:pPr>
            <w:r>
              <w:rPr>
                <w:rFonts w:ascii="宋体" w:hAnsi="宋体"/>
                <w:szCs w:val="21"/>
              </w:rPr>
              <w:t>提供的品质管理管控方案：</w:t>
            </w:r>
            <w:r>
              <w:rPr>
                <w:rFonts w:hint="eastAsia" w:ascii="宋体" w:hAnsi="宋体"/>
                <w:szCs w:val="21"/>
              </w:rPr>
              <w:t>一般</w:t>
            </w:r>
            <w:r>
              <w:rPr>
                <w:rFonts w:ascii="宋体" w:hAnsi="宋体"/>
                <w:szCs w:val="21"/>
              </w:rPr>
              <w:t>的，得</w:t>
            </w:r>
            <w:r>
              <w:rPr>
                <w:rFonts w:hint="eastAsia" w:ascii="宋体" w:hAnsi="宋体"/>
                <w:szCs w:val="21"/>
              </w:rPr>
              <w:t>2</w:t>
            </w:r>
            <w:r>
              <w:rPr>
                <w:rFonts w:ascii="宋体" w:hAnsi="宋体"/>
                <w:szCs w:val="21"/>
              </w:rPr>
              <w:t>分。</w:t>
            </w:r>
          </w:p>
          <w:p w14:paraId="120852BF">
            <w:pPr>
              <w:rPr>
                <w:rFonts w:ascii="宋体" w:hAnsi="宋体"/>
                <w:szCs w:val="21"/>
              </w:rPr>
            </w:pPr>
            <w:r>
              <w:rPr>
                <w:rFonts w:ascii="宋体" w:hAnsi="宋体"/>
                <w:szCs w:val="21"/>
              </w:rPr>
              <w:t>提供的品质管理管控方案：</w:t>
            </w:r>
            <w:r>
              <w:rPr>
                <w:rFonts w:hint="eastAsia" w:ascii="宋体" w:hAnsi="宋体"/>
                <w:szCs w:val="21"/>
              </w:rPr>
              <w:t>差的，</w:t>
            </w:r>
            <w:r>
              <w:rPr>
                <w:rFonts w:ascii="宋体" w:hAnsi="宋体"/>
                <w:szCs w:val="21"/>
              </w:rPr>
              <w:t>0分。</w:t>
            </w:r>
          </w:p>
        </w:tc>
        <w:tc>
          <w:tcPr>
            <w:tcW w:w="1271" w:type="dxa"/>
            <w:vAlign w:val="center"/>
          </w:tcPr>
          <w:p w14:paraId="52EBC869">
            <w:pPr>
              <w:jc w:val="center"/>
              <w:rPr>
                <w:rFonts w:ascii="宋体" w:hAnsi="宋体"/>
                <w:szCs w:val="21"/>
              </w:rPr>
            </w:pPr>
            <w:r>
              <w:rPr>
                <w:rFonts w:hint="eastAsia" w:ascii="宋体" w:hAnsi="宋体"/>
                <w:szCs w:val="21"/>
              </w:rPr>
              <w:t>10分</w:t>
            </w:r>
          </w:p>
        </w:tc>
      </w:tr>
      <w:tr w14:paraId="3033B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599" w:type="dxa"/>
            <w:vAlign w:val="center"/>
          </w:tcPr>
          <w:p w14:paraId="2FE96210">
            <w:pPr>
              <w:jc w:val="center"/>
              <w:rPr>
                <w:rFonts w:ascii="宋体" w:hAnsi="宋体" w:cs="宋体"/>
                <w:szCs w:val="21"/>
              </w:rPr>
            </w:pPr>
            <w:r>
              <w:rPr>
                <w:rFonts w:ascii="宋体" w:hAnsi="宋体"/>
                <w:szCs w:val="21"/>
              </w:rPr>
              <w:t>售后保障和售后服务</w:t>
            </w:r>
          </w:p>
        </w:tc>
        <w:tc>
          <w:tcPr>
            <w:tcW w:w="6322" w:type="dxa"/>
            <w:vAlign w:val="center"/>
          </w:tcPr>
          <w:p w14:paraId="45640741">
            <w:pPr>
              <w:rPr>
                <w:rFonts w:ascii="宋体" w:hAnsi="宋体"/>
                <w:szCs w:val="21"/>
              </w:rPr>
            </w:pPr>
            <w:r>
              <w:rPr>
                <w:rFonts w:ascii="宋体" w:hAnsi="宋体"/>
                <w:szCs w:val="21"/>
              </w:rPr>
              <w:t>根据投标人提供的售后服务方案（包括保修期、备品备件价格、技术培训、维护保养计划及售后服务措施）进行评审。</w:t>
            </w:r>
          </w:p>
          <w:p w14:paraId="471C33F6">
            <w:pPr>
              <w:rPr>
                <w:rFonts w:ascii="宋体" w:hAnsi="宋体"/>
                <w:szCs w:val="21"/>
              </w:rPr>
            </w:pPr>
            <w:r>
              <w:rPr>
                <w:rFonts w:ascii="宋体" w:hAnsi="宋体"/>
                <w:szCs w:val="21"/>
              </w:rPr>
              <w:t>提供的</w:t>
            </w:r>
            <w:r>
              <w:rPr>
                <w:rFonts w:hint="eastAsia" w:ascii="宋体" w:hAnsi="宋体"/>
                <w:szCs w:val="21"/>
              </w:rPr>
              <w:t>服务</w:t>
            </w:r>
            <w:r>
              <w:rPr>
                <w:rFonts w:ascii="宋体" w:hAnsi="宋体"/>
                <w:szCs w:val="21"/>
              </w:rPr>
              <w:t>方案：优的，得</w:t>
            </w:r>
            <w:r>
              <w:rPr>
                <w:rFonts w:hint="eastAsia" w:ascii="宋体" w:hAnsi="宋体"/>
                <w:szCs w:val="21"/>
              </w:rPr>
              <w:t>10</w:t>
            </w:r>
            <w:r>
              <w:rPr>
                <w:rFonts w:ascii="宋体" w:hAnsi="宋体"/>
                <w:szCs w:val="21"/>
              </w:rPr>
              <w:t xml:space="preserve">分。 </w:t>
            </w:r>
          </w:p>
          <w:p w14:paraId="36328922">
            <w:pPr>
              <w:rPr>
                <w:rFonts w:ascii="宋体" w:hAnsi="宋体"/>
                <w:szCs w:val="21"/>
              </w:rPr>
            </w:pPr>
            <w:r>
              <w:rPr>
                <w:rFonts w:ascii="宋体" w:hAnsi="宋体"/>
                <w:szCs w:val="21"/>
              </w:rPr>
              <w:t>提供的</w:t>
            </w:r>
            <w:r>
              <w:rPr>
                <w:rFonts w:hint="eastAsia" w:ascii="宋体" w:hAnsi="宋体"/>
                <w:szCs w:val="21"/>
              </w:rPr>
              <w:t>服务</w:t>
            </w:r>
            <w:r>
              <w:rPr>
                <w:rFonts w:ascii="宋体" w:hAnsi="宋体"/>
                <w:szCs w:val="21"/>
              </w:rPr>
              <w:t>方案：良的，得</w:t>
            </w:r>
            <w:r>
              <w:rPr>
                <w:rFonts w:hint="eastAsia" w:ascii="宋体" w:hAnsi="宋体"/>
                <w:szCs w:val="21"/>
              </w:rPr>
              <w:t>6</w:t>
            </w:r>
            <w:r>
              <w:rPr>
                <w:rFonts w:ascii="宋体" w:hAnsi="宋体"/>
                <w:szCs w:val="21"/>
              </w:rPr>
              <w:t xml:space="preserve">分。 </w:t>
            </w:r>
          </w:p>
          <w:p w14:paraId="72B26A5B">
            <w:pPr>
              <w:rPr>
                <w:rFonts w:ascii="宋体" w:hAnsi="宋体"/>
                <w:szCs w:val="21"/>
              </w:rPr>
            </w:pPr>
            <w:r>
              <w:rPr>
                <w:rFonts w:ascii="宋体" w:hAnsi="宋体"/>
                <w:szCs w:val="21"/>
              </w:rPr>
              <w:t>提供的</w:t>
            </w:r>
            <w:r>
              <w:rPr>
                <w:rFonts w:hint="eastAsia" w:ascii="宋体" w:hAnsi="宋体"/>
                <w:szCs w:val="21"/>
              </w:rPr>
              <w:t>服务</w:t>
            </w:r>
            <w:r>
              <w:rPr>
                <w:rFonts w:ascii="宋体" w:hAnsi="宋体"/>
                <w:szCs w:val="21"/>
              </w:rPr>
              <w:t>方案：</w:t>
            </w:r>
            <w:r>
              <w:rPr>
                <w:rFonts w:hint="eastAsia" w:ascii="宋体" w:hAnsi="宋体"/>
                <w:szCs w:val="21"/>
              </w:rPr>
              <w:t>一般</w:t>
            </w:r>
            <w:r>
              <w:rPr>
                <w:rFonts w:ascii="宋体" w:hAnsi="宋体"/>
                <w:szCs w:val="21"/>
              </w:rPr>
              <w:t>的，得</w:t>
            </w:r>
            <w:r>
              <w:rPr>
                <w:rFonts w:hint="eastAsia" w:ascii="宋体" w:hAnsi="宋体"/>
                <w:szCs w:val="21"/>
              </w:rPr>
              <w:t>2</w:t>
            </w:r>
            <w:r>
              <w:rPr>
                <w:rFonts w:ascii="宋体" w:hAnsi="宋体"/>
                <w:szCs w:val="21"/>
              </w:rPr>
              <w:t>分。</w:t>
            </w:r>
          </w:p>
          <w:p w14:paraId="0067CC7A">
            <w:pPr>
              <w:rPr>
                <w:rFonts w:ascii="宋体" w:hAnsi="宋体"/>
                <w:szCs w:val="21"/>
              </w:rPr>
            </w:pPr>
            <w:r>
              <w:rPr>
                <w:rFonts w:ascii="宋体" w:hAnsi="宋体"/>
                <w:szCs w:val="21"/>
              </w:rPr>
              <w:t>提供的</w:t>
            </w:r>
            <w:r>
              <w:rPr>
                <w:rFonts w:hint="eastAsia" w:ascii="宋体" w:hAnsi="宋体"/>
                <w:szCs w:val="21"/>
              </w:rPr>
              <w:t>服务</w:t>
            </w:r>
            <w:r>
              <w:rPr>
                <w:rFonts w:ascii="宋体" w:hAnsi="宋体"/>
                <w:szCs w:val="21"/>
              </w:rPr>
              <w:t>方案：</w:t>
            </w:r>
            <w:r>
              <w:rPr>
                <w:rFonts w:hint="eastAsia" w:ascii="宋体" w:hAnsi="宋体"/>
                <w:szCs w:val="21"/>
              </w:rPr>
              <w:t>差的，</w:t>
            </w:r>
            <w:r>
              <w:rPr>
                <w:rFonts w:ascii="宋体" w:hAnsi="宋体"/>
                <w:szCs w:val="21"/>
              </w:rPr>
              <w:t>0分。</w:t>
            </w:r>
          </w:p>
        </w:tc>
        <w:tc>
          <w:tcPr>
            <w:tcW w:w="1271" w:type="dxa"/>
            <w:vAlign w:val="center"/>
          </w:tcPr>
          <w:p w14:paraId="7980A50D">
            <w:pPr>
              <w:jc w:val="center"/>
              <w:rPr>
                <w:rFonts w:ascii="宋体" w:hAnsi="宋体"/>
                <w:szCs w:val="21"/>
              </w:rPr>
            </w:pPr>
            <w:r>
              <w:rPr>
                <w:rFonts w:hint="eastAsia" w:ascii="宋体" w:hAnsi="宋体"/>
                <w:szCs w:val="21"/>
              </w:rPr>
              <w:t>10分</w:t>
            </w:r>
          </w:p>
        </w:tc>
      </w:tr>
      <w:tr w14:paraId="3B398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9192" w:type="dxa"/>
            <w:gridSpan w:val="3"/>
            <w:vAlign w:val="center"/>
          </w:tcPr>
          <w:p w14:paraId="79370AE9">
            <w:pPr>
              <w:jc w:val="center"/>
              <w:rPr>
                <w:rFonts w:ascii="宋体" w:hAnsi="宋体" w:cs="微软雅黑"/>
                <w:b/>
                <w:bCs/>
                <w:szCs w:val="21"/>
              </w:rPr>
            </w:pPr>
            <w:r>
              <w:rPr>
                <w:rFonts w:hint="eastAsia" w:ascii="宋体" w:hAnsi="宋体" w:cs="微软雅黑"/>
                <w:b/>
                <w:bCs/>
                <w:szCs w:val="21"/>
              </w:rPr>
              <w:t>价格分</w:t>
            </w:r>
            <w:r>
              <w:rPr>
                <w:rFonts w:hint="eastAsia" w:ascii="宋体" w:hAnsi="宋体" w:cs="微软雅黑"/>
                <w:b/>
                <w:szCs w:val="21"/>
              </w:rPr>
              <w:t>（3</w:t>
            </w:r>
            <w:r>
              <w:rPr>
                <w:rFonts w:ascii="宋体" w:hAnsi="宋体" w:cs="微软雅黑"/>
                <w:b/>
                <w:szCs w:val="21"/>
              </w:rPr>
              <w:t>0</w:t>
            </w:r>
            <w:r>
              <w:rPr>
                <w:rFonts w:hint="eastAsia" w:ascii="宋体" w:hAnsi="宋体" w:cs="微软雅黑"/>
                <w:b/>
                <w:szCs w:val="21"/>
              </w:rPr>
              <w:t>分）</w:t>
            </w:r>
          </w:p>
        </w:tc>
      </w:tr>
      <w:tr w14:paraId="08A8A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599" w:type="dxa"/>
            <w:vAlign w:val="center"/>
          </w:tcPr>
          <w:p w14:paraId="56823DE5">
            <w:pPr>
              <w:jc w:val="center"/>
              <w:rPr>
                <w:rFonts w:ascii="宋体" w:hAnsi="宋体" w:cs="微软雅黑"/>
                <w:color w:val="000000"/>
                <w:szCs w:val="21"/>
              </w:rPr>
            </w:pPr>
            <w:r>
              <w:rPr>
                <w:rFonts w:hint="eastAsia" w:ascii="宋体" w:hAnsi="宋体" w:cs="微软雅黑"/>
                <w:color w:val="000000"/>
                <w:szCs w:val="21"/>
              </w:rPr>
              <w:t>价格分</w:t>
            </w:r>
          </w:p>
        </w:tc>
        <w:tc>
          <w:tcPr>
            <w:tcW w:w="6322" w:type="dxa"/>
            <w:vAlign w:val="center"/>
          </w:tcPr>
          <w:p w14:paraId="441761C0">
            <w:pPr>
              <w:rPr>
                <w:rFonts w:ascii="宋体" w:hAnsi="宋体" w:cs="微软雅黑"/>
                <w:color w:val="000000"/>
                <w:szCs w:val="21"/>
              </w:rPr>
            </w:pPr>
            <w:r>
              <w:rPr>
                <w:rFonts w:ascii="宋体" w:hAnsi="宋体" w:cs="微软雅黑"/>
                <w:color w:val="000000"/>
                <w:szCs w:val="21"/>
              </w:rPr>
              <w:t>价格分</w:t>
            </w:r>
            <w:r>
              <w:rPr>
                <w:rFonts w:hint="eastAsia" w:ascii="宋体" w:hAnsi="宋体" w:cs="微软雅黑"/>
                <w:color w:val="000000"/>
                <w:szCs w:val="21"/>
              </w:rPr>
              <w:t>统一采用低价优先法计算，即满足文件要求且报价最低的报价为基准价，其价格分为满分。其他参选人的价格分统一按照下列公式计算：</w:t>
            </w:r>
          </w:p>
          <w:p w14:paraId="4E8D9377">
            <w:pPr>
              <w:rPr>
                <w:rFonts w:ascii="宋体" w:hAnsi="宋体" w:cs="微软雅黑"/>
                <w:color w:val="000000"/>
                <w:szCs w:val="21"/>
              </w:rPr>
            </w:pPr>
            <w:r>
              <w:rPr>
                <w:rFonts w:hint="eastAsia" w:ascii="宋体" w:hAnsi="宋体" w:cs="微软雅黑"/>
                <w:color w:val="000000"/>
                <w:szCs w:val="21"/>
              </w:rPr>
              <w:t>报价得分=(基准价／最后报价)×价格分值</w:t>
            </w:r>
          </w:p>
          <w:p w14:paraId="3203D345">
            <w:pPr>
              <w:rPr>
                <w:rFonts w:ascii="宋体" w:hAnsi="宋体" w:cs="微软雅黑"/>
                <w:bCs/>
                <w:color w:val="000000"/>
                <w:szCs w:val="21"/>
              </w:rPr>
            </w:pPr>
            <w:r>
              <w:rPr>
                <w:rFonts w:hint="eastAsia" w:ascii="宋体" w:hAnsi="宋体" w:cs="微软雅黑"/>
                <w:bCs/>
                <w:color w:val="000000"/>
                <w:szCs w:val="21"/>
              </w:rPr>
              <w:t>备注：</w:t>
            </w:r>
          </w:p>
          <w:p w14:paraId="5E674518">
            <w:pPr>
              <w:rPr>
                <w:rFonts w:ascii="宋体" w:hAnsi="宋体" w:cs="微软雅黑"/>
                <w:color w:val="000000"/>
                <w:szCs w:val="21"/>
              </w:rPr>
            </w:pPr>
            <w:r>
              <w:rPr>
                <w:rFonts w:hint="eastAsia" w:ascii="宋体" w:hAnsi="宋体" w:cs="微软雅黑"/>
                <w:color w:val="000000"/>
                <w:szCs w:val="21"/>
              </w:rPr>
              <w:t>1</w:t>
            </w:r>
            <w:r>
              <w:rPr>
                <w:rFonts w:ascii="宋体" w:hAnsi="宋体" w:cs="微软雅黑"/>
                <w:color w:val="000000"/>
                <w:szCs w:val="21"/>
              </w:rPr>
              <w:t>.</w:t>
            </w:r>
            <w:r>
              <w:rPr>
                <w:rFonts w:hint="eastAsia" w:ascii="宋体" w:hAnsi="宋体" w:cs="微软雅黑"/>
                <w:color w:val="000000"/>
                <w:szCs w:val="21"/>
              </w:rPr>
              <w:t>报价得分四舍五入后，小数点后保留两位有效数；</w:t>
            </w:r>
          </w:p>
          <w:p w14:paraId="4B2EBD8D">
            <w:pPr>
              <w:rPr>
                <w:rFonts w:ascii="宋体" w:hAnsi="宋体" w:cs="微软雅黑"/>
                <w:color w:val="000000"/>
                <w:szCs w:val="21"/>
              </w:rPr>
            </w:pPr>
            <w:r>
              <w:rPr>
                <w:rFonts w:hint="eastAsia" w:ascii="宋体" w:hAnsi="宋体" w:cs="微软雅黑"/>
                <w:color w:val="000000"/>
                <w:szCs w:val="21"/>
              </w:rPr>
              <w:t>2</w:t>
            </w:r>
            <w:r>
              <w:rPr>
                <w:rFonts w:ascii="宋体" w:hAnsi="宋体" w:cs="微软雅黑"/>
                <w:color w:val="000000"/>
                <w:szCs w:val="21"/>
              </w:rPr>
              <w:t>.</w:t>
            </w:r>
            <w:r>
              <w:rPr>
                <w:rFonts w:hint="eastAsia" w:ascii="宋体" w:hAnsi="宋体" w:cs="微软雅黑"/>
                <w:color w:val="000000"/>
                <w:szCs w:val="21"/>
              </w:rPr>
              <w:t>参选人的报价明显低于其他参选人报价，有可能影响项目质量或者不能诚信履约的，评选小组将要求其在合理的时间内提供书面说明，必要时提交相关证明材料；参选人不能证明其报价合理性的，委员会应当将其作为无效响应处理，取消其继续参与的资格。</w:t>
            </w:r>
          </w:p>
        </w:tc>
        <w:tc>
          <w:tcPr>
            <w:tcW w:w="1271" w:type="dxa"/>
            <w:vAlign w:val="center"/>
          </w:tcPr>
          <w:p w14:paraId="2BAF1250">
            <w:pPr>
              <w:jc w:val="center"/>
              <w:rPr>
                <w:rFonts w:ascii="宋体" w:hAnsi="宋体" w:cs="微软雅黑"/>
                <w:color w:val="000000"/>
                <w:szCs w:val="21"/>
              </w:rPr>
            </w:pPr>
            <w:r>
              <w:rPr>
                <w:rFonts w:hint="eastAsia" w:ascii="宋体" w:hAnsi="宋体" w:cs="微软雅黑"/>
                <w:color w:val="000000"/>
                <w:szCs w:val="21"/>
              </w:rPr>
              <w:t>3</w:t>
            </w:r>
            <w:r>
              <w:rPr>
                <w:rFonts w:ascii="宋体" w:hAnsi="宋体" w:cs="微软雅黑"/>
                <w:color w:val="000000"/>
                <w:szCs w:val="21"/>
              </w:rPr>
              <w:t>0</w:t>
            </w:r>
            <w:r>
              <w:rPr>
                <w:rFonts w:hint="eastAsia" w:ascii="宋体" w:hAnsi="宋体"/>
                <w:szCs w:val="21"/>
              </w:rPr>
              <w:t>分</w:t>
            </w:r>
          </w:p>
        </w:tc>
      </w:tr>
    </w:tbl>
    <w:p w14:paraId="352CBEF1">
      <w:pPr>
        <w:pStyle w:val="5"/>
        <w:tabs>
          <w:tab w:val="left" w:pos="8820"/>
        </w:tabs>
        <w:spacing w:beforeLines="50" w:line="320" w:lineRule="exact"/>
        <w:ind w:firstLine="0"/>
        <w:rPr>
          <w:rFonts w:asciiTheme="minorEastAsia" w:hAnsiTheme="minorEastAsia"/>
          <w:color w:val="000000" w:themeColor="text1"/>
        </w:rPr>
      </w:pPr>
      <w:r>
        <w:rPr>
          <w:rFonts w:hint="eastAsia" w:ascii="宋体" w:hAnsi="宋体" w:cs="宋体"/>
          <w:b/>
          <w:bCs/>
          <w:szCs w:val="21"/>
        </w:rPr>
        <w:t>注：各评委按规定的范围内进行量化打分，并统计总分。</w:t>
      </w:r>
      <w:bookmarkEnd w:id="0"/>
    </w:p>
    <w:sectPr>
      <w:pgSz w:w="11906" w:h="16838"/>
      <w:pgMar w:top="1440" w:right="1077" w:bottom="1440" w:left="1077"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DejaVuSans">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17522910"/>
    </w:sdtPr>
    <w:sdtContent>
      <w:sdt>
        <w:sdtPr>
          <w:id w:val="1728636285"/>
        </w:sdtPr>
        <w:sdtContent>
          <w:p w14:paraId="347CC67C">
            <w:pPr>
              <w:pStyle w:val="12"/>
              <w:ind w:firstLine="600"/>
              <w:jc w:val="center"/>
            </w:pPr>
            <w:r>
              <w:t xml:space="preserve">第 </w:t>
            </w:r>
            <w:r>
              <w:fldChar w:fldCharType="begin"/>
            </w:r>
            <w:r>
              <w:instrText xml:space="preserve">PAGE</w:instrText>
            </w:r>
            <w:r>
              <w:fldChar w:fldCharType="separate"/>
            </w:r>
            <w:r>
              <w:t>38</w:t>
            </w:r>
            <w:r>
              <w:fldChar w:fldCharType="end"/>
            </w:r>
            <w:r>
              <w:t xml:space="preserve">页 /共 </w:t>
            </w:r>
            <w:r>
              <w:fldChar w:fldCharType="begin"/>
            </w:r>
            <w:r>
              <w:instrText xml:space="preserve">NUMPAGES</w:instrText>
            </w:r>
            <w:r>
              <w:fldChar w:fldCharType="separate"/>
            </w:r>
            <w:r>
              <w:t>38</w:t>
            </w:r>
            <w:r>
              <w:fldChar w:fldCharType="end"/>
            </w:r>
            <w:r>
              <w:t>页</w:t>
            </w:r>
          </w:p>
        </w:sdtContent>
      </w:sdt>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9D2DC">
    <w:pPr>
      <w:pStyle w:val="13"/>
      <w:pBdr>
        <w:bottom w:val="none" w:color="auto" w:sz="0" w:space="0"/>
      </w:pBd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0"/>
    <w:multiLevelType w:val="multilevel"/>
    <w:tmpl w:val="00000010"/>
    <w:lvl w:ilvl="0" w:tentative="0">
      <w:start w:val="1"/>
      <w:numFmt w:val="decimal"/>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default" w:ascii="宋体" w:hAnsi="宋体" w:eastAsia="宋体" w:cs="Times New Roman"/>
        <w:b w:val="0"/>
        <w:dstrike w:val="0"/>
      </w:rPr>
    </w:lvl>
    <w:lvl w:ilvl="2" w:tentative="0">
      <w:start w:val="1"/>
      <w:numFmt w:val="decimal"/>
      <w:lvlText w:val="%1.%2.%3"/>
      <w:lvlJc w:val="left"/>
      <w:pPr>
        <w:tabs>
          <w:tab w:val="left" w:pos="1703"/>
        </w:tabs>
        <w:ind w:left="1703" w:hanging="851"/>
      </w:pPr>
      <w:rPr>
        <w:rFonts w:hint="default" w:ascii="宋体" w:hAnsi="宋体" w:eastAsia="宋体" w:cs="Times New Roman"/>
        <w:b w:val="0"/>
        <w:color w:val="auto"/>
        <w:sz w:val="21"/>
        <w:szCs w:val="21"/>
      </w:rPr>
    </w:lvl>
    <w:lvl w:ilvl="3" w:tentative="0">
      <w:start w:val="1"/>
      <w:numFmt w:val="decimal"/>
      <w:pStyle w:val="33"/>
      <w:lvlText w:val="%1.%2.%3.%4"/>
      <w:lvlJc w:val="left"/>
      <w:pPr>
        <w:tabs>
          <w:tab w:val="left" w:pos="851"/>
        </w:tabs>
        <w:ind w:left="851" w:hanging="851"/>
      </w:pPr>
      <w:rPr>
        <w:rFonts w:hint="eastAsia"/>
        <w:dstrike w:val="0"/>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
    <w:nsid w:val="001D035F"/>
    <w:multiLevelType w:val="multilevel"/>
    <w:tmpl w:val="001D035F"/>
    <w:lvl w:ilvl="0" w:tentative="0">
      <w:start w:val="1"/>
      <w:numFmt w:val="decimal"/>
      <w:lvlText w:val="%1."/>
      <w:lvlJc w:val="left"/>
      <w:pPr>
        <w:ind w:left="1680" w:hanging="420"/>
      </w:pPr>
    </w:lvl>
    <w:lvl w:ilvl="1" w:tentative="0">
      <w:start w:val="1"/>
      <w:numFmt w:val="lowerLetter"/>
      <w:lvlText w:val="%2)"/>
      <w:lvlJc w:val="left"/>
      <w:pPr>
        <w:ind w:left="2100" w:hanging="420"/>
      </w:pPr>
    </w:lvl>
    <w:lvl w:ilvl="2" w:tentative="0">
      <w:start w:val="1"/>
      <w:numFmt w:val="lowerRoman"/>
      <w:lvlText w:val="%3."/>
      <w:lvlJc w:val="right"/>
      <w:pPr>
        <w:ind w:left="2520" w:hanging="420"/>
      </w:pPr>
    </w:lvl>
    <w:lvl w:ilvl="3" w:tentative="0">
      <w:start w:val="1"/>
      <w:numFmt w:val="decimal"/>
      <w:lvlText w:val="%4."/>
      <w:lvlJc w:val="left"/>
      <w:pPr>
        <w:ind w:left="2940" w:hanging="420"/>
      </w:pPr>
    </w:lvl>
    <w:lvl w:ilvl="4" w:tentative="0">
      <w:start w:val="1"/>
      <w:numFmt w:val="lowerLetter"/>
      <w:lvlText w:val="%5)"/>
      <w:lvlJc w:val="left"/>
      <w:pPr>
        <w:ind w:left="3360" w:hanging="420"/>
      </w:pPr>
    </w:lvl>
    <w:lvl w:ilvl="5" w:tentative="0">
      <w:start w:val="1"/>
      <w:numFmt w:val="lowerRoman"/>
      <w:lvlText w:val="%6."/>
      <w:lvlJc w:val="right"/>
      <w:pPr>
        <w:ind w:left="3780" w:hanging="420"/>
      </w:pPr>
    </w:lvl>
    <w:lvl w:ilvl="6" w:tentative="0">
      <w:start w:val="1"/>
      <w:numFmt w:val="decimal"/>
      <w:lvlText w:val="%7."/>
      <w:lvlJc w:val="left"/>
      <w:pPr>
        <w:ind w:left="4200" w:hanging="420"/>
      </w:pPr>
    </w:lvl>
    <w:lvl w:ilvl="7" w:tentative="0">
      <w:start w:val="1"/>
      <w:numFmt w:val="lowerLetter"/>
      <w:lvlText w:val="%8)"/>
      <w:lvlJc w:val="left"/>
      <w:pPr>
        <w:ind w:left="4620" w:hanging="420"/>
      </w:pPr>
    </w:lvl>
    <w:lvl w:ilvl="8" w:tentative="0">
      <w:start w:val="1"/>
      <w:numFmt w:val="lowerRoman"/>
      <w:lvlText w:val="%9."/>
      <w:lvlJc w:val="right"/>
      <w:pPr>
        <w:ind w:left="5040" w:hanging="420"/>
      </w:pPr>
    </w:lvl>
  </w:abstractNum>
  <w:abstractNum w:abstractNumId="2">
    <w:nsid w:val="32E70EC9"/>
    <w:multiLevelType w:val="multilevel"/>
    <w:tmpl w:val="32E70EC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6B92E3D"/>
    <w:multiLevelType w:val="multilevel"/>
    <w:tmpl w:val="56B92E3D"/>
    <w:lvl w:ilvl="0" w:tentative="0">
      <w:start w:val="1"/>
      <w:numFmt w:val="chineseCountingThousand"/>
      <w:suff w:val="nothing"/>
      <w:lvlText w:val="%1、"/>
      <w:lvlJc w:val="left"/>
      <w:pPr>
        <w:ind w:left="2405" w:hanging="420"/>
      </w:pPr>
      <w:rPr>
        <w:rFonts w:hint="eastAsia"/>
        <w:b/>
        <w:bCs w:val="0"/>
        <w:sz w:val="21"/>
        <w:szCs w:val="21"/>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0734D2C"/>
    <w:multiLevelType w:val="multilevel"/>
    <w:tmpl w:val="70734D2C"/>
    <w:lvl w:ilvl="0" w:tentative="0">
      <w:start w:val="1"/>
      <w:numFmt w:val="decimal"/>
      <w:lvlText w:val="%1."/>
      <w:lvlJc w:val="left"/>
      <w:pPr>
        <w:ind w:left="1680" w:hanging="420"/>
      </w:pPr>
      <w:rPr>
        <w:color w:val="auto"/>
      </w:rPr>
    </w:lvl>
    <w:lvl w:ilvl="1" w:tentative="0">
      <w:start w:val="1"/>
      <w:numFmt w:val="lowerLetter"/>
      <w:lvlText w:val="%2)"/>
      <w:lvlJc w:val="left"/>
      <w:pPr>
        <w:ind w:left="2100" w:hanging="420"/>
      </w:pPr>
    </w:lvl>
    <w:lvl w:ilvl="2" w:tentative="0">
      <w:start w:val="1"/>
      <w:numFmt w:val="lowerRoman"/>
      <w:lvlText w:val="%3."/>
      <w:lvlJc w:val="right"/>
      <w:pPr>
        <w:ind w:left="2520" w:hanging="420"/>
      </w:pPr>
    </w:lvl>
    <w:lvl w:ilvl="3" w:tentative="0">
      <w:start w:val="1"/>
      <w:numFmt w:val="decimal"/>
      <w:lvlText w:val="%4."/>
      <w:lvlJc w:val="left"/>
      <w:pPr>
        <w:ind w:left="2940" w:hanging="420"/>
      </w:pPr>
    </w:lvl>
    <w:lvl w:ilvl="4" w:tentative="0">
      <w:start w:val="1"/>
      <w:numFmt w:val="lowerLetter"/>
      <w:lvlText w:val="%5)"/>
      <w:lvlJc w:val="left"/>
      <w:pPr>
        <w:ind w:left="3360" w:hanging="420"/>
      </w:pPr>
    </w:lvl>
    <w:lvl w:ilvl="5" w:tentative="0">
      <w:start w:val="1"/>
      <w:numFmt w:val="lowerRoman"/>
      <w:lvlText w:val="%6."/>
      <w:lvlJc w:val="right"/>
      <w:pPr>
        <w:ind w:left="3780" w:hanging="420"/>
      </w:pPr>
    </w:lvl>
    <w:lvl w:ilvl="6" w:tentative="0">
      <w:start w:val="1"/>
      <w:numFmt w:val="decimal"/>
      <w:lvlText w:val="%7."/>
      <w:lvlJc w:val="left"/>
      <w:pPr>
        <w:ind w:left="4200" w:hanging="420"/>
      </w:pPr>
    </w:lvl>
    <w:lvl w:ilvl="7" w:tentative="0">
      <w:start w:val="1"/>
      <w:numFmt w:val="lowerLetter"/>
      <w:lvlText w:val="%8)"/>
      <w:lvlJc w:val="left"/>
      <w:pPr>
        <w:ind w:left="4620" w:hanging="420"/>
      </w:pPr>
    </w:lvl>
    <w:lvl w:ilvl="8" w:tentative="0">
      <w:start w:val="1"/>
      <w:numFmt w:val="lowerRoman"/>
      <w:lvlText w:val="%9."/>
      <w:lvlJc w:val="right"/>
      <w:pPr>
        <w:ind w:left="5040" w:hanging="420"/>
      </w:pPr>
    </w:lvl>
  </w:abstractNum>
  <w:abstractNum w:abstractNumId="5">
    <w:nsid w:val="73927129"/>
    <w:multiLevelType w:val="multilevel"/>
    <w:tmpl w:val="73927129"/>
    <w:lvl w:ilvl="0" w:tentative="0">
      <w:start w:val="1"/>
      <w:numFmt w:val="decimal"/>
      <w:lvlText w:val="%1."/>
      <w:lvlJc w:val="left"/>
      <w:pPr>
        <w:ind w:left="420" w:hanging="420"/>
      </w:pPr>
      <w:rPr>
        <w:rFonts w:asciiTheme="minorEastAsia" w:hAnsiTheme="minorEastAsia" w:eastAsiaTheme="minorEastAsia"/>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3"/>
  </w:num>
  <w:num w:numId="3">
    <w:abstractNumId w:val="5"/>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NhNGI4YWNjNDFjMzFiYTg1ZDMyNjYwZjE1ZTAzMTgifQ=="/>
  </w:docVars>
  <w:rsids>
    <w:rsidRoot w:val="00603670"/>
    <w:rsid w:val="00000CDB"/>
    <w:rsid w:val="0000298A"/>
    <w:rsid w:val="00003F81"/>
    <w:rsid w:val="00004935"/>
    <w:rsid w:val="00007C50"/>
    <w:rsid w:val="00011692"/>
    <w:rsid w:val="00011A82"/>
    <w:rsid w:val="0001311D"/>
    <w:rsid w:val="000163AB"/>
    <w:rsid w:val="000167DE"/>
    <w:rsid w:val="00016C10"/>
    <w:rsid w:val="000172F8"/>
    <w:rsid w:val="000227AB"/>
    <w:rsid w:val="00022A4D"/>
    <w:rsid w:val="00022FB0"/>
    <w:rsid w:val="00027036"/>
    <w:rsid w:val="00027453"/>
    <w:rsid w:val="000307B8"/>
    <w:rsid w:val="00030E79"/>
    <w:rsid w:val="00031F11"/>
    <w:rsid w:val="000379D5"/>
    <w:rsid w:val="0004285A"/>
    <w:rsid w:val="00042B6B"/>
    <w:rsid w:val="00042CAB"/>
    <w:rsid w:val="000431C9"/>
    <w:rsid w:val="00043B64"/>
    <w:rsid w:val="00044407"/>
    <w:rsid w:val="00045792"/>
    <w:rsid w:val="00045BFA"/>
    <w:rsid w:val="00045E6F"/>
    <w:rsid w:val="00050534"/>
    <w:rsid w:val="000514F7"/>
    <w:rsid w:val="00052CEC"/>
    <w:rsid w:val="00053978"/>
    <w:rsid w:val="000565F1"/>
    <w:rsid w:val="00067297"/>
    <w:rsid w:val="00072D57"/>
    <w:rsid w:val="00075391"/>
    <w:rsid w:val="00081420"/>
    <w:rsid w:val="00082CDE"/>
    <w:rsid w:val="000852C5"/>
    <w:rsid w:val="00086ABB"/>
    <w:rsid w:val="00087892"/>
    <w:rsid w:val="00087F44"/>
    <w:rsid w:val="00090496"/>
    <w:rsid w:val="00091AC2"/>
    <w:rsid w:val="0009310B"/>
    <w:rsid w:val="00093154"/>
    <w:rsid w:val="000938E6"/>
    <w:rsid w:val="00096F09"/>
    <w:rsid w:val="00097A83"/>
    <w:rsid w:val="00097F65"/>
    <w:rsid w:val="000A2F39"/>
    <w:rsid w:val="000B040C"/>
    <w:rsid w:val="000B19B8"/>
    <w:rsid w:val="000B3F59"/>
    <w:rsid w:val="000C4086"/>
    <w:rsid w:val="000C520D"/>
    <w:rsid w:val="000C5ABD"/>
    <w:rsid w:val="000C6D62"/>
    <w:rsid w:val="000C7386"/>
    <w:rsid w:val="000D21AC"/>
    <w:rsid w:val="000D2506"/>
    <w:rsid w:val="000D7BF0"/>
    <w:rsid w:val="000E1199"/>
    <w:rsid w:val="000E330C"/>
    <w:rsid w:val="000F07C6"/>
    <w:rsid w:val="000F2F64"/>
    <w:rsid w:val="000F3FDB"/>
    <w:rsid w:val="000F423D"/>
    <w:rsid w:val="000F7882"/>
    <w:rsid w:val="00100C4D"/>
    <w:rsid w:val="00105F8F"/>
    <w:rsid w:val="00107E2D"/>
    <w:rsid w:val="00113F12"/>
    <w:rsid w:val="0011556A"/>
    <w:rsid w:val="00116EDF"/>
    <w:rsid w:val="0011701E"/>
    <w:rsid w:val="00117DCB"/>
    <w:rsid w:val="0012076A"/>
    <w:rsid w:val="00122596"/>
    <w:rsid w:val="00123BEA"/>
    <w:rsid w:val="00124373"/>
    <w:rsid w:val="001268D7"/>
    <w:rsid w:val="0012739E"/>
    <w:rsid w:val="001304CF"/>
    <w:rsid w:val="001318F1"/>
    <w:rsid w:val="00131BC9"/>
    <w:rsid w:val="00134E12"/>
    <w:rsid w:val="00135E46"/>
    <w:rsid w:val="001360AF"/>
    <w:rsid w:val="0013675A"/>
    <w:rsid w:val="001377E4"/>
    <w:rsid w:val="00137FC7"/>
    <w:rsid w:val="00140AD2"/>
    <w:rsid w:val="001422F7"/>
    <w:rsid w:val="001425C7"/>
    <w:rsid w:val="00143C00"/>
    <w:rsid w:val="00152B50"/>
    <w:rsid w:val="001547DB"/>
    <w:rsid w:val="00154923"/>
    <w:rsid w:val="001549E8"/>
    <w:rsid w:val="00155F61"/>
    <w:rsid w:val="0016171E"/>
    <w:rsid w:val="0016259C"/>
    <w:rsid w:val="001649AA"/>
    <w:rsid w:val="00166547"/>
    <w:rsid w:val="0016676B"/>
    <w:rsid w:val="00170133"/>
    <w:rsid w:val="001713E8"/>
    <w:rsid w:val="001749B5"/>
    <w:rsid w:val="00174EF7"/>
    <w:rsid w:val="00175ECB"/>
    <w:rsid w:val="00182BE9"/>
    <w:rsid w:val="001863E0"/>
    <w:rsid w:val="00186517"/>
    <w:rsid w:val="00187C7F"/>
    <w:rsid w:val="00187E01"/>
    <w:rsid w:val="00195E7A"/>
    <w:rsid w:val="001A0DDF"/>
    <w:rsid w:val="001A1020"/>
    <w:rsid w:val="001A10DB"/>
    <w:rsid w:val="001A21A1"/>
    <w:rsid w:val="001A2A69"/>
    <w:rsid w:val="001A5796"/>
    <w:rsid w:val="001A6ED7"/>
    <w:rsid w:val="001A769F"/>
    <w:rsid w:val="001A780E"/>
    <w:rsid w:val="001B0A70"/>
    <w:rsid w:val="001B64B3"/>
    <w:rsid w:val="001B74DB"/>
    <w:rsid w:val="001C071E"/>
    <w:rsid w:val="001C0AD2"/>
    <w:rsid w:val="001C3D61"/>
    <w:rsid w:val="001C43C7"/>
    <w:rsid w:val="001C446A"/>
    <w:rsid w:val="001C4AD6"/>
    <w:rsid w:val="001C5636"/>
    <w:rsid w:val="001C6BE3"/>
    <w:rsid w:val="001C6FAD"/>
    <w:rsid w:val="001D1026"/>
    <w:rsid w:val="001D1E80"/>
    <w:rsid w:val="001D2DB8"/>
    <w:rsid w:val="001D33E6"/>
    <w:rsid w:val="001D3B88"/>
    <w:rsid w:val="001E05C1"/>
    <w:rsid w:val="001E48AC"/>
    <w:rsid w:val="001E4B8B"/>
    <w:rsid w:val="001E4FBD"/>
    <w:rsid w:val="001E5B9F"/>
    <w:rsid w:val="001E5C33"/>
    <w:rsid w:val="001F0428"/>
    <w:rsid w:val="001F1E6E"/>
    <w:rsid w:val="001F3F8C"/>
    <w:rsid w:val="001F4B5B"/>
    <w:rsid w:val="001F4B88"/>
    <w:rsid w:val="001F6D35"/>
    <w:rsid w:val="00201FB5"/>
    <w:rsid w:val="0020285B"/>
    <w:rsid w:val="00204263"/>
    <w:rsid w:val="002056C6"/>
    <w:rsid w:val="00210EF0"/>
    <w:rsid w:val="00214F7D"/>
    <w:rsid w:val="00216CD4"/>
    <w:rsid w:val="00217C44"/>
    <w:rsid w:val="00217EFA"/>
    <w:rsid w:val="002206F1"/>
    <w:rsid w:val="00220B4D"/>
    <w:rsid w:val="00224636"/>
    <w:rsid w:val="002316B6"/>
    <w:rsid w:val="002329D0"/>
    <w:rsid w:val="0023369C"/>
    <w:rsid w:val="00234D35"/>
    <w:rsid w:val="00236DF5"/>
    <w:rsid w:val="002379C7"/>
    <w:rsid w:val="0024016D"/>
    <w:rsid w:val="00241D99"/>
    <w:rsid w:val="0024390D"/>
    <w:rsid w:val="00245D8C"/>
    <w:rsid w:val="00251E48"/>
    <w:rsid w:val="00253352"/>
    <w:rsid w:val="002546E4"/>
    <w:rsid w:val="002558A7"/>
    <w:rsid w:val="002571E7"/>
    <w:rsid w:val="002571F2"/>
    <w:rsid w:val="00261A36"/>
    <w:rsid w:val="002620DC"/>
    <w:rsid w:val="00262DAA"/>
    <w:rsid w:val="00263417"/>
    <w:rsid w:val="0026399A"/>
    <w:rsid w:val="00270E13"/>
    <w:rsid w:val="00271255"/>
    <w:rsid w:val="00271855"/>
    <w:rsid w:val="00273479"/>
    <w:rsid w:val="002739DA"/>
    <w:rsid w:val="00273B99"/>
    <w:rsid w:val="002742C9"/>
    <w:rsid w:val="00277CD8"/>
    <w:rsid w:val="00283853"/>
    <w:rsid w:val="00283A1B"/>
    <w:rsid w:val="00286F07"/>
    <w:rsid w:val="00291463"/>
    <w:rsid w:val="002920CA"/>
    <w:rsid w:val="0029417C"/>
    <w:rsid w:val="00296F74"/>
    <w:rsid w:val="002A10BE"/>
    <w:rsid w:val="002A1FE5"/>
    <w:rsid w:val="002A50F6"/>
    <w:rsid w:val="002A54C1"/>
    <w:rsid w:val="002A76AD"/>
    <w:rsid w:val="002B0A8A"/>
    <w:rsid w:val="002B1DF2"/>
    <w:rsid w:val="002B2992"/>
    <w:rsid w:val="002B2F0E"/>
    <w:rsid w:val="002B4077"/>
    <w:rsid w:val="002B4481"/>
    <w:rsid w:val="002B45AC"/>
    <w:rsid w:val="002B4DF8"/>
    <w:rsid w:val="002B6EEB"/>
    <w:rsid w:val="002C0683"/>
    <w:rsid w:val="002C3544"/>
    <w:rsid w:val="002C3DC3"/>
    <w:rsid w:val="002C4D11"/>
    <w:rsid w:val="002C626A"/>
    <w:rsid w:val="002C7CC8"/>
    <w:rsid w:val="002D369C"/>
    <w:rsid w:val="002D4EBD"/>
    <w:rsid w:val="002D5262"/>
    <w:rsid w:val="002D5D9D"/>
    <w:rsid w:val="002E0061"/>
    <w:rsid w:val="002E0263"/>
    <w:rsid w:val="002E0749"/>
    <w:rsid w:val="002E0C70"/>
    <w:rsid w:val="002E1478"/>
    <w:rsid w:val="002E23FD"/>
    <w:rsid w:val="002E545E"/>
    <w:rsid w:val="002E61D3"/>
    <w:rsid w:val="002E66A9"/>
    <w:rsid w:val="002E675D"/>
    <w:rsid w:val="002F28DB"/>
    <w:rsid w:val="002F3442"/>
    <w:rsid w:val="002F352E"/>
    <w:rsid w:val="002F5D8B"/>
    <w:rsid w:val="002F5E67"/>
    <w:rsid w:val="002F60BA"/>
    <w:rsid w:val="002F7FE8"/>
    <w:rsid w:val="00306E8B"/>
    <w:rsid w:val="00310A1D"/>
    <w:rsid w:val="003117B1"/>
    <w:rsid w:val="003144FD"/>
    <w:rsid w:val="0032085E"/>
    <w:rsid w:val="0032491A"/>
    <w:rsid w:val="00324C44"/>
    <w:rsid w:val="00324F35"/>
    <w:rsid w:val="003255E1"/>
    <w:rsid w:val="003275CC"/>
    <w:rsid w:val="00327C22"/>
    <w:rsid w:val="003317B3"/>
    <w:rsid w:val="0033463A"/>
    <w:rsid w:val="00336275"/>
    <w:rsid w:val="00341720"/>
    <w:rsid w:val="0034233C"/>
    <w:rsid w:val="00342DC7"/>
    <w:rsid w:val="00342E19"/>
    <w:rsid w:val="00345BB6"/>
    <w:rsid w:val="0035312B"/>
    <w:rsid w:val="003551F9"/>
    <w:rsid w:val="00355F34"/>
    <w:rsid w:val="003565F3"/>
    <w:rsid w:val="00357357"/>
    <w:rsid w:val="00357BB5"/>
    <w:rsid w:val="0036243B"/>
    <w:rsid w:val="00366797"/>
    <w:rsid w:val="00366F3E"/>
    <w:rsid w:val="003677B0"/>
    <w:rsid w:val="00371889"/>
    <w:rsid w:val="00381846"/>
    <w:rsid w:val="003818F2"/>
    <w:rsid w:val="00382C39"/>
    <w:rsid w:val="00383905"/>
    <w:rsid w:val="00385254"/>
    <w:rsid w:val="00390D4B"/>
    <w:rsid w:val="00392847"/>
    <w:rsid w:val="00393D24"/>
    <w:rsid w:val="00394537"/>
    <w:rsid w:val="00395A64"/>
    <w:rsid w:val="00395C9C"/>
    <w:rsid w:val="00396928"/>
    <w:rsid w:val="003A0715"/>
    <w:rsid w:val="003A373A"/>
    <w:rsid w:val="003B0A20"/>
    <w:rsid w:val="003B0C2A"/>
    <w:rsid w:val="003B2F30"/>
    <w:rsid w:val="003B48C0"/>
    <w:rsid w:val="003B5876"/>
    <w:rsid w:val="003B65DE"/>
    <w:rsid w:val="003B68CB"/>
    <w:rsid w:val="003B786F"/>
    <w:rsid w:val="003C1464"/>
    <w:rsid w:val="003C20CB"/>
    <w:rsid w:val="003C419C"/>
    <w:rsid w:val="003C51D9"/>
    <w:rsid w:val="003C7C73"/>
    <w:rsid w:val="003D2DE8"/>
    <w:rsid w:val="003D484D"/>
    <w:rsid w:val="003E273C"/>
    <w:rsid w:val="003F26AE"/>
    <w:rsid w:val="003F38D5"/>
    <w:rsid w:val="003F44D8"/>
    <w:rsid w:val="003F49B4"/>
    <w:rsid w:val="003F7225"/>
    <w:rsid w:val="00400F97"/>
    <w:rsid w:val="00403AB2"/>
    <w:rsid w:val="00403FA7"/>
    <w:rsid w:val="00412749"/>
    <w:rsid w:val="00414BEC"/>
    <w:rsid w:val="004211A3"/>
    <w:rsid w:val="0042509A"/>
    <w:rsid w:val="00431DBE"/>
    <w:rsid w:val="00433140"/>
    <w:rsid w:val="00433B9F"/>
    <w:rsid w:val="00440067"/>
    <w:rsid w:val="00442C2F"/>
    <w:rsid w:val="0044370A"/>
    <w:rsid w:val="004469CF"/>
    <w:rsid w:val="004511E6"/>
    <w:rsid w:val="00454EF1"/>
    <w:rsid w:val="00456B94"/>
    <w:rsid w:val="00456CDD"/>
    <w:rsid w:val="0045760A"/>
    <w:rsid w:val="004610D7"/>
    <w:rsid w:val="0046111D"/>
    <w:rsid w:val="004613B9"/>
    <w:rsid w:val="00462C54"/>
    <w:rsid w:val="00464374"/>
    <w:rsid w:val="00466014"/>
    <w:rsid w:val="004663F7"/>
    <w:rsid w:val="00466F3D"/>
    <w:rsid w:val="0047081D"/>
    <w:rsid w:val="00472EBD"/>
    <w:rsid w:val="0047589A"/>
    <w:rsid w:val="004764CC"/>
    <w:rsid w:val="004765F8"/>
    <w:rsid w:val="00476745"/>
    <w:rsid w:val="004776D5"/>
    <w:rsid w:val="004844D3"/>
    <w:rsid w:val="00485FF0"/>
    <w:rsid w:val="004861A9"/>
    <w:rsid w:val="00487E0E"/>
    <w:rsid w:val="00487E4E"/>
    <w:rsid w:val="00490195"/>
    <w:rsid w:val="00492B35"/>
    <w:rsid w:val="00493336"/>
    <w:rsid w:val="00494277"/>
    <w:rsid w:val="00494623"/>
    <w:rsid w:val="00496883"/>
    <w:rsid w:val="004A36A8"/>
    <w:rsid w:val="004A3867"/>
    <w:rsid w:val="004A48DE"/>
    <w:rsid w:val="004A4CE8"/>
    <w:rsid w:val="004A4D11"/>
    <w:rsid w:val="004A5673"/>
    <w:rsid w:val="004A5FCC"/>
    <w:rsid w:val="004A65FD"/>
    <w:rsid w:val="004B28BC"/>
    <w:rsid w:val="004B4136"/>
    <w:rsid w:val="004B57DA"/>
    <w:rsid w:val="004B7182"/>
    <w:rsid w:val="004C18B1"/>
    <w:rsid w:val="004C47D4"/>
    <w:rsid w:val="004C4B18"/>
    <w:rsid w:val="004D2165"/>
    <w:rsid w:val="004D2A3E"/>
    <w:rsid w:val="004D2CF0"/>
    <w:rsid w:val="004D351C"/>
    <w:rsid w:val="004D416E"/>
    <w:rsid w:val="004D4DF9"/>
    <w:rsid w:val="004D6D34"/>
    <w:rsid w:val="004E3790"/>
    <w:rsid w:val="004E5C54"/>
    <w:rsid w:val="004E69D6"/>
    <w:rsid w:val="004F1479"/>
    <w:rsid w:val="004F3951"/>
    <w:rsid w:val="004F58F3"/>
    <w:rsid w:val="00501F2E"/>
    <w:rsid w:val="00502B05"/>
    <w:rsid w:val="005040AD"/>
    <w:rsid w:val="005048FD"/>
    <w:rsid w:val="0050564B"/>
    <w:rsid w:val="00505912"/>
    <w:rsid w:val="00505CA6"/>
    <w:rsid w:val="00510513"/>
    <w:rsid w:val="00510A39"/>
    <w:rsid w:val="00517870"/>
    <w:rsid w:val="00521996"/>
    <w:rsid w:val="00522280"/>
    <w:rsid w:val="00522B2E"/>
    <w:rsid w:val="0052354E"/>
    <w:rsid w:val="005316BD"/>
    <w:rsid w:val="00531C4B"/>
    <w:rsid w:val="00533B92"/>
    <w:rsid w:val="00534A48"/>
    <w:rsid w:val="00534C98"/>
    <w:rsid w:val="00534F6E"/>
    <w:rsid w:val="00535EEC"/>
    <w:rsid w:val="00537D65"/>
    <w:rsid w:val="00540E6E"/>
    <w:rsid w:val="00542929"/>
    <w:rsid w:val="005462F7"/>
    <w:rsid w:val="00546569"/>
    <w:rsid w:val="0055115D"/>
    <w:rsid w:val="00552184"/>
    <w:rsid w:val="005521A5"/>
    <w:rsid w:val="00552808"/>
    <w:rsid w:val="005553EE"/>
    <w:rsid w:val="00555B34"/>
    <w:rsid w:val="00555E59"/>
    <w:rsid w:val="00560934"/>
    <w:rsid w:val="00560FF2"/>
    <w:rsid w:val="0056257C"/>
    <w:rsid w:val="005645D8"/>
    <w:rsid w:val="00565168"/>
    <w:rsid w:val="005656FE"/>
    <w:rsid w:val="00565A21"/>
    <w:rsid w:val="00566A5E"/>
    <w:rsid w:val="005678CC"/>
    <w:rsid w:val="005709C2"/>
    <w:rsid w:val="0057186E"/>
    <w:rsid w:val="00575647"/>
    <w:rsid w:val="005838C3"/>
    <w:rsid w:val="00585A83"/>
    <w:rsid w:val="00586BCE"/>
    <w:rsid w:val="00591BC0"/>
    <w:rsid w:val="00593BB3"/>
    <w:rsid w:val="00596779"/>
    <w:rsid w:val="00597E9C"/>
    <w:rsid w:val="005A1F89"/>
    <w:rsid w:val="005A1F97"/>
    <w:rsid w:val="005A6A60"/>
    <w:rsid w:val="005A78C4"/>
    <w:rsid w:val="005B09AC"/>
    <w:rsid w:val="005B0AE8"/>
    <w:rsid w:val="005B1D70"/>
    <w:rsid w:val="005B62F3"/>
    <w:rsid w:val="005C064C"/>
    <w:rsid w:val="005C0BFB"/>
    <w:rsid w:val="005C1A43"/>
    <w:rsid w:val="005C3A40"/>
    <w:rsid w:val="005C4F9D"/>
    <w:rsid w:val="005D5582"/>
    <w:rsid w:val="005D5E87"/>
    <w:rsid w:val="005D7168"/>
    <w:rsid w:val="005D72B7"/>
    <w:rsid w:val="005D796C"/>
    <w:rsid w:val="005E1D50"/>
    <w:rsid w:val="005E21D9"/>
    <w:rsid w:val="005E36CE"/>
    <w:rsid w:val="005E3AB0"/>
    <w:rsid w:val="005E4015"/>
    <w:rsid w:val="005E63F1"/>
    <w:rsid w:val="005E748F"/>
    <w:rsid w:val="005E7D58"/>
    <w:rsid w:val="005F0098"/>
    <w:rsid w:val="005F36AD"/>
    <w:rsid w:val="005F3B4B"/>
    <w:rsid w:val="005F60D6"/>
    <w:rsid w:val="005F6D53"/>
    <w:rsid w:val="006005AF"/>
    <w:rsid w:val="00603670"/>
    <w:rsid w:val="0060639B"/>
    <w:rsid w:val="006103FD"/>
    <w:rsid w:val="00611223"/>
    <w:rsid w:val="00612B0B"/>
    <w:rsid w:val="00612E51"/>
    <w:rsid w:val="00614049"/>
    <w:rsid w:val="00616532"/>
    <w:rsid w:val="00616AE3"/>
    <w:rsid w:val="00620618"/>
    <w:rsid w:val="00623D80"/>
    <w:rsid w:val="00627469"/>
    <w:rsid w:val="006277BC"/>
    <w:rsid w:val="00627F1C"/>
    <w:rsid w:val="00630F1E"/>
    <w:rsid w:val="00631002"/>
    <w:rsid w:val="00632006"/>
    <w:rsid w:val="00632462"/>
    <w:rsid w:val="006363CC"/>
    <w:rsid w:val="006369C8"/>
    <w:rsid w:val="006407CE"/>
    <w:rsid w:val="00642E2B"/>
    <w:rsid w:val="00646BD3"/>
    <w:rsid w:val="0064715C"/>
    <w:rsid w:val="00650074"/>
    <w:rsid w:val="00650494"/>
    <w:rsid w:val="00655D9E"/>
    <w:rsid w:val="006613A3"/>
    <w:rsid w:val="006640A5"/>
    <w:rsid w:val="00670802"/>
    <w:rsid w:val="00670CFB"/>
    <w:rsid w:val="006727B9"/>
    <w:rsid w:val="00675655"/>
    <w:rsid w:val="00677F67"/>
    <w:rsid w:val="00680244"/>
    <w:rsid w:val="006817FD"/>
    <w:rsid w:val="00683391"/>
    <w:rsid w:val="006900BE"/>
    <w:rsid w:val="006923B3"/>
    <w:rsid w:val="0069390F"/>
    <w:rsid w:val="006A4F90"/>
    <w:rsid w:val="006A5151"/>
    <w:rsid w:val="006A61C8"/>
    <w:rsid w:val="006A6855"/>
    <w:rsid w:val="006A7F01"/>
    <w:rsid w:val="006B07B5"/>
    <w:rsid w:val="006B1494"/>
    <w:rsid w:val="006B1BFB"/>
    <w:rsid w:val="006B764E"/>
    <w:rsid w:val="006C270F"/>
    <w:rsid w:val="006C79CB"/>
    <w:rsid w:val="006D213E"/>
    <w:rsid w:val="006D5047"/>
    <w:rsid w:val="006D5FC6"/>
    <w:rsid w:val="006D7E04"/>
    <w:rsid w:val="006E02E6"/>
    <w:rsid w:val="006E35BC"/>
    <w:rsid w:val="006F195A"/>
    <w:rsid w:val="006F1ABC"/>
    <w:rsid w:val="006F1F1B"/>
    <w:rsid w:val="006F4099"/>
    <w:rsid w:val="006F4A2C"/>
    <w:rsid w:val="006F4C90"/>
    <w:rsid w:val="006F58F6"/>
    <w:rsid w:val="006F6B10"/>
    <w:rsid w:val="00700C51"/>
    <w:rsid w:val="00701416"/>
    <w:rsid w:val="007015AA"/>
    <w:rsid w:val="00704031"/>
    <w:rsid w:val="00704D49"/>
    <w:rsid w:val="00705545"/>
    <w:rsid w:val="007056A1"/>
    <w:rsid w:val="0071097B"/>
    <w:rsid w:val="00711884"/>
    <w:rsid w:val="0071207B"/>
    <w:rsid w:val="007123F2"/>
    <w:rsid w:val="007128C2"/>
    <w:rsid w:val="00712CC3"/>
    <w:rsid w:val="00713BF5"/>
    <w:rsid w:val="00714648"/>
    <w:rsid w:val="00715D44"/>
    <w:rsid w:val="00717FA5"/>
    <w:rsid w:val="007214B0"/>
    <w:rsid w:val="00722A48"/>
    <w:rsid w:val="007230D1"/>
    <w:rsid w:val="007235F0"/>
    <w:rsid w:val="00724E13"/>
    <w:rsid w:val="00726EDF"/>
    <w:rsid w:val="007327B4"/>
    <w:rsid w:val="0073333D"/>
    <w:rsid w:val="007342B9"/>
    <w:rsid w:val="007344DB"/>
    <w:rsid w:val="007358A6"/>
    <w:rsid w:val="00736820"/>
    <w:rsid w:val="00742256"/>
    <w:rsid w:val="007440B0"/>
    <w:rsid w:val="007470DA"/>
    <w:rsid w:val="00751A26"/>
    <w:rsid w:val="0075415A"/>
    <w:rsid w:val="00755483"/>
    <w:rsid w:val="00756870"/>
    <w:rsid w:val="00757D0A"/>
    <w:rsid w:val="00757EB0"/>
    <w:rsid w:val="007602CD"/>
    <w:rsid w:val="0076073A"/>
    <w:rsid w:val="007617AC"/>
    <w:rsid w:val="00766452"/>
    <w:rsid w:val="00766A9F"/>
    <w:rsid w:val="00766BD6"/>
    <w:rsid w:val="00767F9B"/>
    <w:rsid w:val="007706F7"/>
    <w:rsid w:val="00773D46"/>
    <w:rsid w:val="00775DDE"/>
    <w:rsid w:val="00776217"/>
    <w:rsid w:val="007769C5"/>
    <w:rsid w:val="00780FB5"/>
    <w:rsid w:val="00781957"/>
    <w:rsid w:val="0078327B"/>
    <w:rsid w:val="00783B9B"/>
    <w:rsid w:val="0078704E"/>
    <w:rsid w:val="00790604"/>
    <w:rsid w:val="007919B2"/>
    <w:rsid w:val="0079536B"/>
    <w:rsid w:val="007A0556"/>
    <w:rsid w:val="007A6F1A"/>
    <w:rsid w:val="007A7191"/>
    <w:rsid w:val="007B0245"/>
    <w:rsid w:val="007B06E7"/>
    <w:rsid w:val="007B232A"/>
    <w:rsid w:val="007B3D1B"/>
    <w:rsid w:val="007B654B"/>
    <w:rsid w:val="007B72FA"/>
    <w:rsid w:val="007C0286"/>
    <w:rsid w:val="007C2958"/>
    <w:rsid w:val="007C31EA"/>
    <w:rsid w:val="007C5792"/>
    <w:rsid w:val="007D0B49"/>
    <w:rsid w:val="007D1647"/>
    <w:rsid w:val="007E26FA"/>
    <w:rsid w:val="007E2C93"/>
    <w:rsid w:val="007E3EDE"/>
    <w:rsid w:val="007E4288"/>
    <w:rsid w:val="007E4ED0"/>
    <w:rsid w:val="007E6CA2"/>
    <w:rsid w:val="007F10DC"/>
    <w:rsid w:val="007F26F4"/>
    <w:rsid w:val="007F2D53"/>
    <w:rsid w:val="007F5110"/>
    <w:rsid w:val="007F6B25"/>
    <w:rsid w:val="007F7FD1"/>
    <w:rsid w:val="0080065E"/>
    <w:rsid w:val="00803248"/>
    <w:rsid w:val="008034FC"/>
    <w:rsid w:val="00803518"/>
    <w:rsid w:val="008057FB"/>
    <w:rsid w:val="008065A8"/>
    <w:rsid w:val="008103D5"/>
    <w:rsid w:val="00810421"/>
    <w:rsid w:val="00811E08"/>
    <w:rsid w:val="00812470"/>
    <w:rsid w:val="008124C1"/>
    <w:rsid w:val="00812BA1"/>
    <w:rsid w:val="008136DD"/>
    <w:rsid w:val="0081704A"/>
    <w:rsid w:val="00823100"/>
    <w:rsid w:val="0082342B"/>
    <w:rsid w:val="00824594"/>
    <w:rsid w:val="00825FF0"/>
    <w:rsid w:val="0082674F"/>
    <w:rsid w:val="00826876"/>
    <w:rsid w:val="008272F0"/>
    <w:rsid w:val="00830919"/>
    <w:rsid w:val="008315E2"/>
    <w:rsid w:val="008338BA"/>
    <w:rsid w:val="00835CC2"/>
    <w:rsid w:val="008427B3"/>
    <w:rsid w:val="0084464F"/>
    <w:rsid w:val="00845EE4"/>
    <w:rsid w:val="00846962"/>
    <w:rsid w:val="00847407"/>
    <w:rsid w:val="008537C7"/>
    <w:rsid w:val="00853F63"/>
    <w:rsid w:val="00854E7B"/>
    <w:rsid w:val="008556E4"/>
    <w:rsid w:val="00856F2F"/>
    <w:rsid w:val="00857380"/>
    <w:rsid w:val="008579A1"/>
    <w:rsid w:val="008624CE"/>
    <w:rsid w:val="00865380"/>
    <w:rsid w:val="00865BD7"/>
    <w:rsid w:val="00866658"/>
    <w:rsid w:val="008712DA"/>
    <w:rsid w:val="00873A6B"/>
    <w:rsid w:val="00874416"/>
    <w:rsid w:val="00875023"/>
    <w:rsid w:val="008767F7"/>
    <w:rsid w:val="00880B45"/>
    <w:rsid w:val="008810DA"/>
    <w:rsid w:val="00881257"/>
    <w:rsid w:val="00882269"/>
    <w:rsid w:val="00882F84"/>
    <w:rsid w:val="00884387"/>
    <w:rsid w:val="0088608F"/>
    <w:rsid w:val="00887223"/>
    <w:rsid w:val="00887285"/>
    <w:rsid w:val="00890D4D"/>
    <w:rsid w:val="008938F0"/>
    <w:rsid w:val="00893A05"/>
    <w:rsid w:val="00895353"/>
    <w:rsid w:val="008A1E58"/>
    <w:rsid w:val="008A5110"/>
    <w:rsid w:val="008A5A14"/>
    <w:rsid w:val="008A7093"/>
    <w:rsid w:val="008A72CD"/>
    <w:rsid w:val="008A75A4"/>
    <w:rsid w:val="008B028E"/>
    <w:rsid w:val="008B28F8"/>
    <w:rsid w:val="008B41D3"/>
    <w:rsid w:val="008B4B7E"/>
    <w:rsid w:val="008B7BAC"/>
    <w:rsid w:val="008B7C71"/>
    <w:rsid w:val="008C0ECA"/>
    <w:rsid w:val="008C2AB1"/>
    <w:rsid w:val="008C3917"/>
    <w:rsid w:val="008C4191"/>
    <w:rsid w:val="008C41E1"/>
    <w:rsid w:val="008C545E"/>
    <w:rsid w:val="008C675C"/>
    <w:rsid w:val="008C7245"/>
    <w:rsid w:val="008D0947"/>
    <w:rsid w:val="008D19BE"/>
    <w:rsid w:val="008D251D"/>
    <w:rsid w:val="008D789D"/>
    <w:rsid w:val="008E1D74"/>
    <w:rsid w:val="008E2321"/>
    <w:rsid w:val="008E3CD8"/>
    <w:rsid w:val="008E49E5"/>
    <w:rsid w:val="008E5084"/>
    <w:rsid w:val="008E6EDC"/>
    <w:rsid w:val="008F293E"/>
    <w:rsid w:val="008F298E"/>
    <w:rsid w:val="008F3BD8"/>
    <w:rsid w:val="008F3E0F"/>
    <w:rsid w:val="008F3F79"/>
    <w:rsid w:val="008F480D"/>
    <w:rsid w:val="008F4E03"/>
    <w:rsid w:val="008F545E"/>
    <w:rsid w:val="00900950"/>
    <w:rsid w:val="0090130B"/>
    <w:rsid w:val="00904D13"/>
    <w:rsid w:val="009074E6"/>
    <w:rsid w:val="009112F9"/>
    <w:rsid w:val="00911786"/>
    <w:rsid w:val="009147BC"/>
    <w:rsid w:val="00915388"/>
    <w:rsid w:val="00915450"/>
    <w:rsid w:val="009227C3"/>
    <w:rsid w:val="0092421F"/>
    <w:rsid w:val="009260ED"/>
    <w:rsid w:val="009301F7"/>
    <w:rsid w:val="00930B88"/>
    <w:rsid w:val="00932E40"/>
    <w:rsid w:val="009330B4"/>
    <w:rsid w:val="00937F4D"/>
    <w:rsid w:val="00941CCE"/>
    <w:rsid w:val="00943CE7"/>
    <w:rsid w:val="00944B0E"/>
    <w:rsid w:val="00945FC8"/>
    <w:rsid w:val="00947348"/>
    <w:rsid w:val="009500CB"/>
    <w:rsid w:val="00950D89"/>
    <w:rsid w:val="009522F6"/>
    <w:rsid w:val="00952F69"/>
    <w:rsid w:val="0095403F"/>
    <w:rsid w:val="0095410E"/>
    <w:rsid w:val="0095499B"/>
    <w:rsid w:val="009558C0"/>
    <w:rsid w:val="00957C12"/>
    <w:rsid w:val="00962375"/>
    <w:rsid w:val="009639F7"/>
    <w:rsid w:val="0096593E"/>
    <w:rsid w:val="00966193"/>
    <w:rsid w:val="009666D4"/>
    <w:rsid w:val="00966BC8"/>
    <w:rsid w:val="009706C8"/>
    <w:rsid w:val="009739E5"/>
    <w:rsid w:val="0097675F"/>
    <w:rsid w:val="00977403"/>
    <w:rsid w:val="00977A76"/>
    <w:rsid w:val="0098182B"/>
    <w:rsid w:val="00981FCF"/>
    <w:rsid w:val="009826EF"/>
    <w:rsid w:val="0098395F"/>
    <w:rsid w:val="009877F1"/>
    <w:rsid w:val="00987A58"/>
    <w:rsid w:val="00990253"/>
    <w:rsid w:val="00994BAD"/>
    <w:rsid w:val="00997715"/>
    <w:rsid w:val="009A1B71"/>
    <w:rsid w:val="009A21C0"/>
    <w:rsid w:val="009A40A3"/>
    <w:rsid w:val="009A4BF3"/>
    <w:rsid w:val="009A5BEF"/>
    <w:rsid w:val="009B056F"/>
    <w:rsid w:val="009B315C"/>
    <w:rsid w:val="009B43CE"/>
    <w:rsid w:val="009B4D41"/>
    <w:rsid w:val="009B5D9A"/>
    <w:rsid w:val="009B64F3"/>
    <w:rsid w:val="009C225A"/>
    <w:rsid w:val="009C2D78"/>
    <w:rsid w:val="009C461E"/>
    <w:rsid w:val="009D0859"/>
    <w:rsid w:val="009D0A06"/>
    <w:rsid w:val="009D2027"/>
    <w:rsid w:val="009D45E5"/>
    <w:rsid w:val="009D4DE1"/>
    <w:rsid w:val="009D4FC9"/>
    <w:rsid w:val="009D5C99"/>
    <w:rsid w:val="009D5D5A"/>
    <w:rsid w:val="009E0165"/>
    <w:rsid w:val="009E03B8"/>
    <w:rsid w:val="009E062E"/>
    <w:rsid w:val="009E1012"/>
    <w:rsid w:val="009E5075"/>
    <w:rsid w:val="009E5F7B"/>
    <w:rsid w:val="009F050D"/>
    <w:rsid w:val="009F22AA"/>
    <w:rsid w:val="009F4B4D"/>
    <w:rsid w:val="009F7734"/>
    <w:rsid w:val="00A02365"/>
    <w:rsid w:val="00A03820"/>
    <w:rsid w:val="00A042E3"/>
    <w:rsid w:val="00A0461C"/>
    <w:rsid w:val="00A0472A"/>
    <w:rsid w:val="00A061F1"/>
    <w:rsid w:val="00A062D1"/>
    <w:rsid w:val="00A0777F"/>
    <w:rsid w:val="00A121AE"/>
    <w:rsid w:val="00A1242D"/>
    <w:rsid w:val="00A13934"/>
    <w:rsid w:val="00A13A27"/>
    <w:rsid w:val="00A161D5"/>
    <w:rsid w:val="00A16824"/>
    <w:rsid w:val="00A16C1A"/>
    <w:rsid w:val="00A17A7E"/>
    <w:rsid w:val="00A22AAF"/>
    <w:rsid w:val="00A240B9"/>
    <w:rsid w:val="00A30C64"/>
    <w:rsid w:val="00A34BED"/>
    <w:rsid w:val="00A356AD"/>
    <w:rsid w:val="00A379E8"/>
    <w:rsid w:val="00A37E84"/>
    <w:rsid w:val="00A45A6D"/>
    <w:rsid w:val="00A4624E"/>
    <w:rsid w:val="00A50749"/>
    <w:rsid w:val="00A53C6D"/>
    <w:rsid w:val="00A53E9E"/>
    <w:rsid w:val="00A54D04"/>
    <w:rsid w:val="00A603D8"/>
    <w:rsid w:val="00A647D1"/>
    <w:rsid w:val="00A6598F"/>
    <w:rsid w:val="00A67278"/>
    <w:rsid w:val="00A678A4"/>
    <w:rsid w:val="00A711CE"/>
    <w:rsid w:val="00A8061B"/>
    <w:rsid w:val="00A82740"/>
    <w:rsid w:val="00A83DA8"/>
    <w:rsid w:val="00A840F9"/>
    <w:rsid w:val="00A84D51"/>
    <w:rsid w:val="00A92C7A"/>
    <w:rsid w:val="00A9334F"/>
    <w:rsid w:val="00A9684A"/>
    <w:rsid w:val="00AA1D9F"/>
    <w:rsid w:val="00AA3D11"/>
    <w:rsid w:val="00AA64B9"/>
    <w:rsid w:val="00AB6105"/>
    <w:rsid w:val="00AB68D4"/>
    <w:rsid w:val="00AB742B"/>
    <w:rsid w:val="00AB7F36"/>
    <w:rsid w:val="00AC0FD9"/>
    <w:rsid w:val="00AC2AF9"/>
    <w:rsid w:val="00AD08E8"/>
    <w:rsid w:val="00AD3C05"/>
    <w:rsid w:val="00AD5610"/>
    <w:rsid w:val="00AD6219"/>
    <w:rsid w:val="00AD7162"/>
    <w:rsid w:val="00AE0282"/>
    <w:rsid w:val="00AE1DAE"/>
    <w:rsid w:val="00AE270A"/>
    <w:rsid w:val="00AE7382"/>
    <w:rsid w:val="00AE7F9E"/>
    <w:rsid w:val="00AF0B96"/>
    <w:rsid w:val="00AF1D6C"/>
    <w:rsid w:val="00AF4372"/>
    <w:rsid w:val="00AF4F5A"/>
    <w:rsid w:val="00B0099A"/>
    <w:rsid w:val="00B06AE0"/>
    <w:rsid w:val="00B11176"/>
    <w:rsid w:val="00B13BD4"/>
    <w:rsid w:val="00B16927"/>
    <w:rsid w:val="00B16FF1"/>
    <w:rsid w:val="00B244A6"/>
    <w:rsid w:val="00B31D06"/>
    <w:rsid w:val="00B34076"/>
    <w:rsid w:val="00B34F81"/>
    <w:rsid w:val="00B41D4A"/>
    <w:rsid w:val="00B432E6"/>
    <w:rsid w:val="00B44587"/>
    <w:rsid w:val="00B4687C"/>
    <w:rsid w:val="00B50F6F"/>
    <w:rsid w:val="00B517C4"/>
    <w:rsid w:val="00B5406D"/>
    <w:rsid w:val="00B540E1"/>
    <w:rsid w:val="00B5713C"/>
    <w:rsid w:val="00B607B1"/>
    <w:rsid w:val="00B617FE"/>
    <w:rsid w:val="00B6276D"/>
    <w:rsid w:val="00B62BAE"/>
    <w:rsid w:val="00B72328"/>
    <w:rsid w:val="00B752A3"/>
    <w:rsid w:val="00B75537"/>
    <w:rsid w:val="00B761B0"/>
    <w:rsid w:val="00B80F39"/>
    <w:rsid w:val="00B8295D"/>
    <w:rsid w:val="00B83332"/>
    <w:rsid w:val="00B84445"/>
    <w:rsid w:val="00B85FC9"/>
    <w:rsid w:val="00B909FB"/>
    <w:rsid w:val="00B9732A"/>
    <w:rsid w:val="00BA1245"/>
    <w:rsid w:val="00BA578C"/>
    <w:rsid w:val="00BB1611"/>
    <w:rsid w:val="00BB1C57"/>
    <w:rsid w:val="00BB3060"/>
    <w:rsid w:val="00BB45E3"/>
    <w:rsid w:val="00BB4C3D"/>
    <w:rsid w:val="00BB566D"/>
    <w:rsid w:val="00BB67EB"/>
    <w:rsid w:val="00BC0958"/>
    <w:rsid w:val="00BC4505"/>
    <w:rsid w:val="00BD2E2E"/>
    <w:rsid w:val="00BD3301"/>
    <w:rsid w:val="00BD4CD9"/>
    <w:rsid w:val="00BD6CBA"/>
    <w:rsid w:val="00BE0384"/>
    <w:rsid w:val="00BE5DB9"/>
    <w:rsid w:val="00BE63AA"/>
    <w:rsid w:val="00BE6926"/>
    <w:rsid w:val="00BE79AD"/>
    <w:rsid w:val="00BF04FE"/>
    <w:rsid w:val="00BF28B1"/>
    <w:rsid w:val="00BF568B"/>
    <w:rsid w:val="00C00098"/>
    <w:rsid w:val="00C00555"/>
    <w:rsid w:val="00C02598"/>
    <w:rsid w:val="00C0440B"/>
    <w:rsid w:val="00C06388"/>
    <w:rsid w:val="00C07DF1"/>
    <w:rsid w:val="00C123C1"/>
    <w:rsid w:val="00C14376"/>
    <w:rsid w:val="00C14922"/>
    <w:rsid w:val="00C17803"/>
    <w:rsid w:val="00C2026A"/>
    <w:rsid w:val="00C20B07"/>
    <w:rsid w:val="00C21B82"/>
    <w:rsid w:val="00C25CAC"/>
    <w:rsid w:val="00C307C8"/>
    <w:rsid w:val="00C309D4"/>
    <w:rsid w:val="00C31252"/>
    <w:rsid w:val="00C330E0"/>
    <w:rsid w:val="00C335CE"/>
    <w:rsid w:val="00C350CE"/>
    <w:rsid w:val="00C368FE"/>
    <w:rsid w:val="00C40805"/>
    <w:rsid w:val="00C41F6C"/>
    <w:rsid w:val="00C45357"/>
    <w:rsid w:val="00C45E63"/>
    <w:rsid w:val="00C476C2"/>
    <w:rsid w:val="00C55B77"/>
    <w:rsid w:val="00C569A8"/>
    <w:rsid w:val="00C65789"/>
    <w:rsid w:val="00C65B00"/>
    <w:rsid w:val="00C66375"/>
    <w:rsid w:val="00C70562"/>
    <w:rsid w:val="00C70B1F"/>
    <w:rsid w:val="00C735CD"/>
    <w:rsid w:val="00C74BEB"/>
    <w:rsid w:val="00C776A4"/>
    <w:rsid w:val="00C811DA"/>
    <w:rsid w:val="00C85127"/>
    <w:rsid w:val="00C85194"/>
    <w:rsid w:val="00C90DA1"/>
    <w:rsid w:val="00C92120"/>
    <w:rsid w:val="00C9213F"/>
    <w:rsid w:val="00C93719"/>
    <w:rsid w:val="00C94A3B"/>
    <w:rsid w:val="00C94FDD"/>
    <w:rsid w:val="00CA090A"/>
    <w:rsid w:val="00CA0FD7"/>
    <w:rsid w:val="00CA1BEB"/>
    <w:rsid w:val="00CB25C7"/>
    <w:rsid w:val="00CB3E3A"/>
    <w:rsid w:val="00CB7FB6"/>
    <w:rsid w:val="00CC44C9"/>
    <w:rsid w:val="00CC533A"/>
    <w:rsid w:val="00CC6B2A"/>
    <w:rsid w:val="00CD0245"/>
    <w:rsid w:val="00CD143C"/>
    <w:rsid w:val="00CD25B6"/>
    <w:rsid w:val="00CD38FF"/>
    <w:rsid w:val="00CD57F2"/>
    <w:rsid w:val="00CD74BB"/>
    <w:rsid w:val="00CE1225"/>
    <w:rsid w:val="00CE492E"/>
    <w:rsid w:val="00CE6969"/>
    <w:rsid w:val="00CF0C45"/>
    <w:rsid w:val="00CF2666"/>
    <w:rsid w:val="00CF38DE"/>
    <w:rsid w:val="00CF7196"/>
    <w:rsid w:val="00D002F2"/>
    <w:rsid w:val="00D015A2"/>
    <w:rsid w:val="00D02A64"/>
    <w:rsid w:val="00D0334B"/>
    <w:rsid w:val="00D07558"/>
    <w:rsid w:val="00D10E67"/>
    <w:rsid w:val="00D11729"/>
    <w:rsid w:val="00D2020D"/>
    <w:rsid w:val="00D205D0"/>
    <w:rsid w:val="00D221F4"/>
    <w:rsid w:val="00D22D3A"/>
    <w:rsid w:val="00D24211"/>
    <w:rsid w:val="00D24487"/>
    <w:rsid w:val="00D27FD7"/>
    <w:rsid w:val="00D32910"/>
    <w:rsid w:val="00D36A69"/>
    <w:rsid w:val="00D40DB7"/>
    <w:rsid w:val="00D423EA"/>
    <w:rsid w:val="00D4525D"/>
    <w:rsid w:val="00D467C0"/>
    <w:rsid w:val="00D501F8"/>
    <w:rsid w:val="00D51C19"/>
    <w:rsid w:val="00D533FC"/>
    <w:rsid w:val="00D53527"/>
    <w:rsid w:val="00D600D2"/>
    <w:rsid w:val="00D61271"/>
    <w:rsid w:val="00D638E3"/>
    <w:rsid w:val="00D64908"/>
    <w:rsid w:val="00D7179D"/>
    <w:rsid w:val="00D71805"/>
    <w:rsid w:val="00D8277B"/>
    <w:rsid w:val="00D82EF0"/>
    <w:rsid w:val="00D83E08"/>
    <w:rsid w:val="00D850B3"/>
    <w:rsid w:val="00D90096"/>
    <w:rsid w:val="00D916F0"/>
    <w:rsid w:val="00D9501D"/>
    <w:rsid w:val="00D953AB"/>
    <w:rsid w:val="00D957E0"/>
    <w:rsid w:val="00D95FC8"/>
    <w:rsid w:val="00D96CBE"/>
    <w:rsid w:val="00DA11A0"/>
    <w:rsid w:val="00DA2D72"/>
    <w:rsid w:val="00DA5447"/>
    <w:rsid w:val="00DA79B4"/>
    <w:rsid w:val="00DB2B5A"/>
    <w:rsid w:val="00DB6278"/>
    <w:rsid w:val="00DC483C"/>
    <w:rsid w:val="00DC713D"/>
    <w:rsid w:val="00DD14FC"/>
    <w:rsid w:val="00DD1F0C"/>
    <w:rsid w:val="00DD1FD2"/>
    <w:rsid w:val="00DD3557"/>
    <w:rsid w:val="00DD3E67"/>
    <w:rsid w:val="00DD402C"/>
    <w:rsid w:val="00DD4221"/>
    <w:rsid w:val="00DD46DF"/>
    <w:rsid w:val="00DD4F18"/>
    <w:rsid w:val="00DD5D8D"/>
    <w:rsid w:val="00DD7900"/>
    <w:rsid w:val="00DF04AB"/>
    <w:rsid w:val="00DF0BD9"/>
    <w:rsid w:val="00DF1B26"/>
    <w:rsid w:val="00DF46FC"/>
    <w:rsid w:val="00E01F9F"/>
    <w:rsid w:val="00E06F98"/>
    <w:rsid w:val="00E07AB9"/>
    <w:rsid w:val="00E127FA"/>
    <w:rsid w:val="00E21BCA"/>
    <w:rsid w:val="00E22336"/>
    <w:rsid w:val="00E25567"/>
    <w:rsid w:val="00E26662"/>
    <w:rsid w:val="00E26FF8"/>
    <w:rsid w:val="00E300EB"/>
    <w:rsid w:val="00E3250A"/>
    <w:rsid w:val="00E32743"/>
    <w:rsid w:val="00E33E2A"/>
    <w:rsid w:val="00E3421A"/>
    <w:rsid w:val="00E354CD"/>
    <w:rsid w:val="00E36B14"/>
    <w:rsid w:val="00E42DDE"/>
    <w:rsid w:val="00E4552F"/>
    <w:rsid w:val="00E45546"/>
    <w:rsid w:val="00E46206"/>
    <w:rsid w:val="00E56523"/>
    <w:rsid w:val="00E5677C"/>
    <w:rsid w:val="00E63348"/>
    <w:rsid w:val="00E63A5F"/>
    <w:rsid w:val="00E70313"/>
    <w:rsid w:val="00E70D78"/>
    <w:rsid w:val="00E716FB"/>
    <w:rsid w:val="00E73129"/>
    <w:rsid w:val="00E74B53"/>
    <w:rsid w:val="00E74BFC"/>
    <w:rsid w:val="00E75B35"/>
    <w:rsid w:val="00E810EC"/>
    <w:rsid w:val="00E81F84"/>
    <w:rsid w:val="00E83886"/>
    <w:rsid w:val="00E84F37"/>
    <w:rsid w:val="00E85A79"/>
    <w:rsid w:val="00E85FD7"/>
    <w:rsid w:val="00E86E5F"/>
    <w:rsid w:val="00E90479"/>
    <w:rsid w:val="00E91982"/>
    <w:rsid w:val="00E919E8"/>
    <w:rsid w:val="00E94293"/>
    <w:rsid w:val="00E94E01"/>
    <w:rsid w:val="00E95501"/>
    <w:rsid w:val="00E96562"/>
    <w:rsid w:val="00E975CD"/>
    <w:rsid w:val="00EA08B8"/>
    <w:rsid w:val="00EA431A"/>
    <w:rsid w:val="00EA564A"/>
    <w:rsid w:val="00EB1AE8"/>
    <w:rsid w:val="00EB3E5D"/>
    <w:rsid w:val="00EB543C"/>
    <w:rsid w:val="00EB723C"/>
    <w:rsid w:val="00EB73EA"/>
    <w:rsid w:val="00EC0455"/>
    <w:rsid w:val="00EC6A4D"/>
    <w:rsid w:val="00EC6B71"/>
    <w:rsid w:val="00ED5181"/>
    <w:rsid w:val="00ED67DF"/>
    <w:rsid w:val="00ED6FA6"/>
    <w:rsid w:val="00EE203B"/>
    <w:rsid w:val="00EE22B8"/>
    <w:rsid w:val="00EE2D9E"/>
    <w:rsid w:val="00EE6332"/>
    <w:rsid w:val="00EE7439"/>
    <w:rsid w:val="00EF1B95"/>
    <w:rsid w:val="00EF3AA1"/>
    <w:rsid w:val="00EF3E3E"/>
    <w:rsid w:val="00EF4110"/>
    <w:rsid w:val="00EF5F21"/>
    <w:rsid w:val="00EF653F"/>
    <w:rsid w:val="00F04DA6"/>
    <w:rsid w:val="00F10289"/>
    <w:rsid w:val="00F11F4D"/>
    <w:rsid w:val="00F124EF"/>
    <w:rsid w:val="00F13E4A"/>
    <w:rsid w:val="00F1404E"/>
    <w:rsid w:val="00F14A8B"/>
    <w:rsid w:val="00F15985"/>
    <w:rsid w:val="00F1651A"/>
    <w:rsid w:val="00F16A55"/>
    <w:rsid w:val="00F21DD8"/>
    <w:rsid w:val="00F22192"/>
    <w:rsid w:val="00F23980"/>
    <w:rsid w:val="00F242C9"/>
    <w:rsid w:val="00F264F6"/>
    <w:rsid w:val="00F27488"/>
    <w:rsid w:val="00F274D0"/>
    <w:rsid w:val="00F27E8B"/>
    <w:rsid w:val="00F30E1B"/>
    <w:rsid w:val="00F31E19"/>
    <w:rsid w:val="00F33142"/>
    <w:rsid w:val="00F36F60"/>
    <w:rsid w:val="00F4049E"/>
    <w:rsid w:val="00F4747C"/>
    <w:rsid w:val="00F512AA"/>
    <w:rsid w:val="00F5165D"/>
    <w:rsid w:val="00F523A2"/>
    <w:rsid w:val="00F57175"/>
    <w:rsid w:val="00F5777B"/>
    <w:rsid w:val="00F607B3"/>
    <w:rsid w:val="00F61DA9"/>
    <w:rsid w:val="00F62334"/>
    <w:rsid w:val="00F656A4"/>
    <w:rsid w:val="00F676E3"/>
    <w:rsid w:val="00F67ABD"/>
    <w:rsid w:val="00F70097"/>
    <w:rsid w:val="00F705B7"/>
    <w:rsid w:val="00F7194C"/>
    <w:rsid w:val="00F74919"/>
    <w:rsid w:val="00F777A8"/>
    <w:rsid w:val="00F80AB4"/>
    <w:rsid w:val="00F814A3"/>
    <w:rsid w:val="00F81881"/>
    <w:rsid w:val="00F82B81"/>
    <w:rsid w:val="00F863F8"/>
    <w:rsid w:val="00F8713B"/>
    <w:rsid w:val="00F9007A"/>
    <w:rsid w:val="00FA3731"/>
    <w:rsid w:val="00FA5475"/>
    <w:rsid w:val="00FB3527"/>
    <w:rsid w:val="00FB7AE0"/>
    <w:rsid w:val="00FC2581"/>
    <w:rsid w:val="00FC3DA0"/>
    <w:rsid w:val="00FD12C6"/>
    <w:rsid w:val="00FD2818"/>
    <w:rsid w:val="00FD2C99"/>
    <w:rsid w:val="00FD56B9"/>
    <w:rsid w:val="00FD6196"/>
    <w:rsid w:val="00FE01AD"/>
    <w:rsid w:val="00FE0FC4"/>
    <w:rsid w:val="00FE1170"/>
    <w:rsid w:val="00FF0085"/>
    <w:rsid w:val="00FF04E2"/>
    <w:rsid w:val="00FF424F"/>
    <w:rsid w:val="00FF5144"/>
    <w:rsid w:val="00FF6021"/>
    <w:rsid w:val="00FF76B2"/>
    <w:rsid w:val="01855E00"/>
    <w:rsid w:val="05F0717F"/>
    <w:rsid w:val="08ED7B1B"/>
    <w:rsid w:val="0974535B"/>
    <w:rsid w:val="0E2F056B"/>
    <w:rsid w:val="13BC6FD2"/>
    <w:rsid w:val="22DB642F"/>
    <w:rsid w:val="2C0418BB"/>
    <w:rsid w:val="3B8A40BE"/>
    <w:rsid w:val="3FAC1F09"/>
    <w:rsid w:val="423E7D2C"/>
    <w:rsid w:val="45BC3D95"/>
    <w:rsid w:val="479B3707"/>
    <w:rsid w:val="4BFC15F8"/>
    <w:rsid w:val="5353603F"/>
    <w:rsid w:val="78A7237F"/>
    <w:rsid w:val="7E90361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9"/>
    <w:qFormat/>
    <w:uiPriority w:val="0"/>
    <w:pPr>
      <w:keepNext/>
      <w:keepLines/>
      <w:spacing w:before="260" w:after="260" w:line="416" w:lineRule="auto"/>
      <w:outlineLvl w:val="1"/>
    </w:pPr>
    <w:rPr>
      <w:rFonts w:ascii="Arial" w:hAnsi="Arial" w:eastAsia="黑体" w:cs="Times New Roman"/>
      <w:b/>
      <w:bCs/>
      <w:sz w:val="32"/>
      <w:szCs w:val="32"/>
    </w:rPr>
  </w:style>
  <w:style w:type="paragraph" w:styleId="4">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19">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pPr>
    <w:rPr>
      <w:szCs w:val="20"/>
    </w:rPr>
  </w:style>
  <w:style w:type="paragraph" w:styleId="6">
    <w:name w:val="annotation text"/>
    <w:basedOn w:val="1"/>
    <w:link w:val="25"/>
    <w:unhideWhenUsed/>
    <w:qFormat/>
    <w:uiPriority w:val="99"/>
    <w:pPr>
      <w:jc w:val="left"/>
    </w:pPr>
  </w:style>
  <w:style w:type="paragraph" w:styleId="7">
    <w:name w:val="Body Text 3"/>
    <w:basedOn w:val="1"/>
    <w:qFormat/>
    <w:uiPriority w:val="0"/>
    <w:pPr>
      <w:spacing w:after="120"/>
    </w:pPr>
    <w:rPr>
      <w:sz w:val="16"/>
      <w:szCs w:val="16"/>
    </w:rPr>
  </w:style>
  <w:style w:type="paragraph" w:styleId="8">
    <w:name w:val="Body Text"/>
    <w:basedOn w:val="1"/>
    <w:next w:val="9"/>
    <w:link w:val="37"/>
    <w:qFormat/>
    <w:uiPriority w:val="0"/>
    <w:pPr>
      <w:adjustRightInd w:val="0"/>
      <w:spacing w:after="120" w:line="360" w:lineRule="atLeast"/>
      <w:textAlignment w:val="baseline"/>
    </w:pPr>
    <w:rPr>
      <w:rFonts w:ascii="Times New Roman" w:hAnsi="Times New Roman" w:eastAsia="宋体" w:cs="Times New Roman"/>
      <w:kern w:val="0"/>
      <w:sz w:val="20"/>
      <w:szCs w:val="24"/>
    </w:rPr>
  </w:style>
  <w:style w:type="paragraph" w:styleId="9">
    <w:name w:val="Body Text Indent"/>
    <w:basedOn w:val="1"/>
    <w:next w:val="1"/>
    <w:qFormat/>
    <w:uiPriority w:val="0"/>
    <w:pPr>
      <w:ind w:firstLine="830" w:firstLineChars="352"/>
    </w:pPr>
    <w:rPr>
      <w:rFonts w:ascii="仿宋_GB2312" w:eastAsia="仿宋_GB2312"/>
      <w:sz w:val="32"/>
      <w:szCs w:val="20"/>
    </w:rPr>
  </w:style>
  <w:style w:type="paragraph" w:styleId="10">
    <w:name w:val="Plain Text"/>
    <w:basedOn w:val="1"/>
    <w:link w:val="30"/>
    <w:qFormat/>
    <w:uiPriority w:val="0"/>
    <w:rPr>
      <w:rFonts w:ascii="宋体" w:hAnsi="Courier New" w:eastAsia="宋体" w:cs="Times New Roman"/>
      <w:kern w:val="0"/>
      <w:sz w:val="20"/>
      <w:szCs w:val="21"/>
    </w:rPr>
  </w:style>
  <w:style w:type="paragraph" w:styleId="11">
    <w:name w:val="Balloon Text"/>
    <w:basedOn w:val="1"/>
    <w:link w:val="26"/>
    <w:semiHidden/>
    <w:unhideWhenUsed/>
    <w:qFormat/>
    <w:uiPriority w:val="99"/>
    <w:rPr>
      <w:sz w:val="18"/>
      <w:szCs w:val="18"/>
    </w:rPr>
  </w:style>
  <w:style w:type="paragraph" w:styleId="12">
    <w:name w:val="footer"/>
    <w:basedOn w:val="1"/>
    <w:link w:val="23"/>
    <w:unhideWhenUsed/>
    <w:qFormat/>
    <w:uiPriority w:val="99"/>
    <w:pPr>
      <w:tabs>
        <w:tab w:val="center" w:pos="4153"/>
        <w:tab w:val="right" w:pos="8306"/>
      </w:tabs>
      <w:snapToGrid w:val="0"/>
      <w:jc w:val="left"/>
    </w:pPr>
    <w:rPr>
      <w:sz w:val="18"/>
      <w:szCs w:val="18"/>
    </w:rPr>
  </w:style>
  <w:style w:type="paragraph" w:styleId="13">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2"/>
    <w:basedOn w:val="1"/>
    <w:next w:val="1"/>
    <w:qFormat/>
    <w:uiPriority w:val="39"/>
    <w:pPr>
      <w:ind w:left="210"/>
      <w:jc w:val="left"/>
    </w:pPr>
    <w:rPr>
      <w:rFonts w:ascii="Calibri" w:hAnsi="Calibri" w:cs="Calibri"/>
      <w:smallCaps/>
      <w:sz w:val="20"/>
      <w:szCs w:val="20"/>
    </w:rPr>
  </w:style>
  <w:style w:type="paragraph" w:styleId="1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6">
    <w:name w:val="Title"/>
    <w:basedOn w:val="1"/>
    <w:next w:val="1"/>
    <w:link w:val="28"/>
    <w:qFormat/>
    <w:uiPriority w:val="10"/>
    <w:pPr>
      <w:spacing w:before="240" w:after="60"/>
      <w:jc w:val="center"/>
      <w:outlineLvl w:val="0"/>
    </w:pPr>
    <w:rPr>
      <w:rFonts w:eastAsia="宋体" w:asciiTheme="majorHAnsi" w:hAnsiTheme="majorHAnsi" w:cstheme="majorBidi"/>
      <w:b/>
      <w:bCs/>
      <w:sz w:val="32"/>
      <w:szCs w:val="32"/>
    </w:rPr>
  </w:style>
  <w:style w:type="paragraph" w:styleId="17">
    <w:name w:val="annotation subject"/>
    <w:basedOn w:val="6"/>
    <w:next w:val="6"/>
    <w:link w:val="27"/>
    <w:semiHidden/>
    <w:unhideWhenUsed/>
    <w:qFormat/>
    <w:uiPriority w:val="99"/>
    <w:rPr>
      <w:b/>
      <w:bCs/>
    </w:rPr>
  </w:style>
  <w:style w:type="character" w:styleId="20">
    <w:name w:val="Strong"/>
    <w:basedOn w:val="19"/>
    <w:qFormat/>
    <w:uiPriority w:val="22"/>
    <w:rPr>
      <w:b/>
      <w:bCs/>
    </w:rPr>
  </w:style>
  <w:style w:type="character" w:styleId="21">
    <w:name w:val="annotation reference"/>
    <w:basedOn w:val="19"/>
    <w:unhideWhenUsed/>
    <w:qFormat/>
    <w:uiPriority w:val="99"/>
    <w:rPr>
      <w:sz w:val="21"/>
      <w:szCs w:val="21"/>
    </w:rPr>
  </w:style>
  <w:style w:type="character" w:customStyle="1" w:styleId="22">
    <w:name w:val="页眉 Char"/>
    <w:basedOn w:val="19"/>
    <w:link w:val="13"/>
    <w:qFormat/>
    <w:uiPriority w:val="99"/>
    <w:rPr>
      <w:sz w:val="18"/>
      <w:szCs w:val="18"/>
    </w:rPr>
  </w:style>
  <w:style w:type="character" w:customStyle="1" w:styleId="23">
    <w:name w:val="页脚 Char"/>
    <w:basedOn w:val="19"/>
    <w:link w:val="12"/>
    <w:qFormat/>
    <w:uiPriority w:val="99"/>
    <w:rPr>
      <w:sz w:val="18"/>
      <w:szCs w:val="18"/>
    </w:rPr>
  </w:style>
  <w:style w:type="paragraph" w:styleId="24">
    <w:name w:val="List Paragraph"/>
    <w:basedOn w:val="1"/>
    <w:link w:val="32"/>
    <w:qFormat/>
    <w:uiPriority w:val="34"/>
    <w:pPr>
      <w:ind w:firstLine="420" w:firstLineChars="200"/>
    </w:pPr>
  </w:style>
  <w:style w:type="character" w:customStyle="1" w:styleId="25">
    <w:name w:val="批注文字 Char"/>
    <w:basedOn w:val="19"/>
    <w:link w:val="6"/>
    <w:qFormat/>
    <w:uiPriority w:val="99"/>
  </w:style>
  <w:style w:type="character" w:customStyle="1" w:styleId="26">
    <w:name w:val="批注框文本 Char"/>
    <w:basedOn w:val="19"/>
    <w:link w:val="11"/>
    <w:semiHidden/>
    <w:qFormat/>
    <w:uiPriority w:val="99"/>
    <w:rPr>
      <w:sz w:val="18"/>
      <w:szCs w:val="18"/>
    </w:rPr>
  </w:style>
  <w:style w:type="character" w:customStyle="1" w:styleId="27">
    <w:name w:val="批注主题 Char"/>
    <w:basedOn w:val="25"/>
    <w:link w:val="17"/>
    <w:semiHidden/>
    <w:qFormat/>
    <w:uiPriority w:val="99"/>
    <w:rPr>
      <w:b/>
      <w:bCs/>
    </w:rPr>
  </w:style>
  <w:style w:type="character" w:customStyle="1" w:styleId="28">
    <w:name w:val="标题 Char"/>
    <w:basedOn w:val="19"/>
    <w:link w:val="16"/>
    <w:qFormat/>
    <w:uiPriority w:val="10"/>
    <w:rPr>
      <w:rFonts w:eastAsia="宋体" w:asciiTheme="majorHAnsi" w:hAnsiTheme="majorHAnsi" w:cstheme="majorBidi"/>
      <w:b/>
      <w:bCs/>
      <w:sz w:val="32"/>
      <w:szCs w:val="32"/>
    </w:rPr>
  </w:style>
  <w:style w:type="character" w:customStyle="1" w:styleId="29">
    <w:name w:val="标题 2 Char"/>
    <w:basedOn w:val="19"/>
    <w:link w:val="3"/>
    <w:qFormat/>
    <w:uiPriority w:val="0"/>
    <w:rPr>
      <w:rFonts w:ascii="Arial" w:hAnsi="Arial" w:eastAsia="黑体" w:cs="Times New Roman"/>
      <w:b/>
      <w:bCs/>
      <w:sz w:val="32"/>
      <w:szCs w:val="32"/>
    </w:rPr>
  </w:style>
  <w:style w:type="character" w:customStyle="1" w:styleId="30">
    <w:name w:val="纯文本 Char"/>
    <w:basedOn w:val="19"/>
    <w:link w:val="10"/>
    <w:qFormat/>
    <w:uiPriority w:val="0"/>
    <w:rPr>
      <w:rFonts w:ascii="宋体" w:hAnsi="Courier New" w:eastAsia="宋体" w:cs="Times New Roman"/>
      <w:kern w:val="0"/>
      <w:sz w:val="20"/>
      <w:szCs w:val="21"/>
    </w:rPr>
  </w:style>
  <w:style w:type="paragraph" w:customStyle="1" w:styleId="31">
    <w:name w:val="图"/>
    <w:basedOn w:val="1"/>
    <w:qFormat/>
    <w:uiPriority w:val="0"/>
    <w:pPr>
      <w:keepNext/>
      <w:adjustRightInd w:val="0"/>
      <w:spacing w:before="60" w:after="60" w:line="300" w:lineRule="auto"/>
      <w:jc w:val="center"/>
      <w:textAlignment w:val="center"/>
    </w:pPr>
    <w:rPr>
      <w:rFonts w:ascii="Times New Roman" w:hAnsi="Times New Roman" w:eastAsia="宋体" w:cs="Times New Roman"/>
      <w:snapToGrid w:val="0"/>
      <w:spacing w:val="20"/>
      <w:kern w:val="0"/>
      <w:sz w:val="24"/>
      <w:szCs w:val="20"/>
    </w:rPr>
  </w:style>
  <w:style w:type="character" w:customStyle="1" w:styleId="32">
    <w:name w:val="列出段落 Char"/>
    <w:link w:val="24"/>
    <w:qFormat/>
    <w:uiPriority w:val="34"/>
  </w:style>
  <w:style w:type="paragraph" w:customStyle="1" w:styleId="33">
    <w:name w:val="样式4"/>
    <w:basedOn w:val="1"/>
    <w:qFormat/>
    <w:uiPriority w:val="0"/>
    <w:pPr>
      <w:numPr>
        <w:ilvl w:val="3"/>
        <w:numId w:val="1"/>
      </w:numPr>
      <w:tabs>
        <w:tab w:val="left" w:pos="425"/>
        <w:tab w:val="left" w:pos="1984"/>
        <w:tab w:val="clear" w:pos="851"/>
      </w:tabs>
    </w:pPr>
    <w:rPr>
      <w:rFonts w:ascii="Times New Roman" w:hAnsi="Times New Roman" w:eastAsia="宋体" w:cs="Times New Roman"/>
      <w:szCs w:val="24"/>
    </w:rPr>
  </w:style>
  <w:style w:type="paragraph" w:customStyle="1" w:styleId="34">
    <w:name w:val="列出段落1"/>
    <w:basedOn w:val="1"/>
    <w:link w:val="35"/>
    <w:qFormat/>
    <w:uiPriority w:val="0"/>
    <w:pPr>
      <w:ind w:firstLine="420" w:firstLineChars="200"/>
    </w:pPr>
    <w:rPr>
      <w:rFonts w:ascii="Times New Roman" w:hAnsi="Times New Roman" w:eastAsia="宋体" w:cs="Times New Roman"/>
      <w:szCs w:val="21"/>
    </w:rPr>
  </w:style>
  <w:style w:type="character" w:customStyle="1" w:styleId="35">
    <w:name w:val="List Paragraph Char"/>
    <w:link w:val="34"/>
    <w:qFormat/>
    <w:locked/>
    <w:uiPriority w:val="99"/>
    <w:rPr>
      <w:rFonts w:ascii="Times New Roman" w:hAnsi="Times New Roman" w:eastAsia="宋体" w:cs="Times New Roman"/>
      <w:szCs w:val="21"/>
    </w:rPr>
  </w:style>
  <w:style w:type="paragraph" w:customStyle="1" w:styleId="36">
    <w:name w:val="_Style 121"/>
    <w:basedOn w:val="1"/>
    <w:next w:val="24"/>
    <w:qFormat/>
    <w:uiPriority w:val="34"/>
    <w:pPr>
      <w:ind w:firstLine="420" w:firstLineChars="200"/>
    </w:pPr>
    <w:rPr>
      <w:rFonts w:ascii="Calibri" w:hAnsi="Calibri" w:eastAsia="宋体" w:cs="Times New Roman"/>
    </w:rPr>
  </w:style>
  <w:style w:type="character" w:customStyle="1" w:styleId="37">
    <w:name w:val="正文文本 Char"/>
    <w:basedOn w:val="19"/>
    <w:link w:val="8"/>
    <w:qFormat/>
    <w:uiPriority w:val="0"/>
    <w:rPr>
      <w:rFonts w:ascii="Times New Roman" w:hAnsi="Times New Roman" w:eastAsia="宋体" w:cs="Times New Roman"/>
      <w:kern w:val="0"/>
      <w:sz w:val="20"/>
      <w:szCs w:val="24"/>
    </w:rPr>
  </w:style>
  <w:style w:type="paragraph" w:customStyle="1" w:styleId="38">
    <w:name w:val="列出段落2"/>
    <w:basedOn w:val="1"/>
    <w:next w:val="24"/>
    <w:qFormat/>
    <w:uiPriority w:val="34"/>
    <w:pPr>
      <w:ind w:firstLine="420" w:firstLineChars="200"/>
    </w:pPr>
    <w:rPr>
      <w:rFonts w:ascii="Calibri" w:hAnsi="Calibri" w:eastAsia="黑体" w:cs="Times New Roman"/>
      <w:bCs/>
      <w:sz w:val="30"/>
      <w:szCs w:val="30"/>
    </w:rPr>
  </w:style>
  <w:style w:type="paragraph" w:customStyle="1" w:styleId="39">
    <w:name w:val="列出段落21"/>
    <w:basedOn w:val="1"/>
    <w:qFormat/>
    <w:uiPriority w:val="34"/>
    <w:pPr>
      <w:ind w:firstLine="420" w:firstLineChars="200"/>
    </w:pPr>
    <w:rPr>
      <w:rFonts w:ascii="Times New Roman" w:hAnsi="Times New Roman" w:eastAsia="宋体" w:cs="Times New Roman"/>
      <w:szCs w:val="20"/>
    </w:rPr>
  </w:style>
  <w:style w:type="paragraph" w:customStyle="1" w:styleId="40">
    <w:name w:val="H正文W"/>
    <w:basedOn w:val="1"/>
    <w:qFormat/>
    <w:uiPriority w:val="0"/>
    <w:pPr>
      <w:snapToGrid w:val="0"/>
      <w:spacing w:line="360" w:lineRule="auto"/>
      <w:ind w:firstLine="200" w:firstLineChars="200"/>
    </w:pPr>
    <w:rPr>
      <w:rFonts w:ascii="Times New Roman" w:hAnsi="Times New Roman" w:eastAsia="宋体" w:cs="Times New Roman"/>
      <w:szCs w:val="21"/>
    </w:rPr>
  </w:style>
  <w:style w:type="paragraph" w:customStyle="1" w:styleId="41">
    <w:name w:val="H正文2级"/>
    <w:basedOn w:val="1"/>
    <w:qFormat/>
    <w:uiPriority w:val="0"/>
    <w:pPr>
      <w:keepNext/>
      <w:keepLines/>
      <w:pageBreakBefore/>
      <w:tabs>
        <w:tab w:val="left" w:pos="426"/>
      </w:tabs>
      <w:spacing w:before="240" w:line="400" w:lineRule="exact"/>
      <w:outlineLvl w:val="1"/>
    </w:pPr>
    <w:rPr>
      <w:rFonts w:ascii="Times New Roman" w:hAnsi="Times New Roman" w:eastAsia="微软雅黑" w:cs="Times New Roman"/>
      <w:b/>
      <w:bCs/>
      <w:szCs w:val="20"/>
    </w:rPr>
  </w:style>
  <w:style w:type="paragraph" w:customStyle="1" w:styleId="42">
    <w:name w:val="H正文3级"/>
    <w:basedOn w:val="40"/>
    <w:qFormat/>
    <w:uiPriority w:val="0"/>
    <w:pPr>
      <w:outlineLvl w:val="2"/>
    </w:pPr>
    <w:rPr>
      <w:b/>
    </w:rPr>
  </w:style>
  <w:style w:type="paragraph" w:customStyle="1" w:styleId="43">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44">
    <w:name w:val="正文_0_0"/>
    <w:qFormat/>
    <w:uiPriority w:val="0"/>
    <w:pPr>
      <w:spacing w:after="200" w:line="276" w:lineRule="auto"/>
    </w:pPr>
    <w:rPr>
      <w:rFonts w:ascii="Times New Roman" w:hAnsi="Times New Roman" w:eastAsia="宋体" w:cs="Times New Roman"/>
      <w:sz w:val="21"/>
      <w:lang w:val="en-US" w:eastAsia="zh-CN" w:bidi="ar-SA"/>
    </w:rPr>
  </w:style>
  <w:style w:type="paragraph" w:customStyle="1" w:styleId="45">
    <w:name w:val="正文_1"/>
    <w:qFormat/>
    <w:uiPriority w:val="0"/>
    <w:pPr>
      <w:widowControl w:val="0"/>
      <w:spacing w:after="200" w:line="276" w:lineRule="auto"/>
      <w:jc w:val="both"/>
    </w:pPr>
    <w:rPr>
      <w:rFonts w:ascii="Times New Roman" w:hAnsi="Times New Roman" w:eastAsia="宋体" w:cs="Times New Roman"/>
      <w:kern w:val="2"/>
      <w:sz w:val="21"/>
      <w:szCs w:val="24"/>
      <w:lang w:val="en-US" w:eastAsia="zh-CN" w:bidi="ar-SA"/>
    </w:rPr>
  </w:style>
  <w:style w:type="paragraph" w:customStyle="1" w:styleId="46">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7">
    <w:name w:val="正文_0_1"/>
    <w:qFormat/>
    <w:uiPriority w:val="0"/>
    <w:rPr>
      <w:rFonts w:ascii="Times New Roman" w:hAnsi="Times New Roman" w:eastAsia="宋体" w:cs="Times New Roman"/>
      <w:sz w:val="21"/>
      <w:lang w:val="en-US" w:eastAsia="zh-CN" w:bidi="ar-SA"/>
    </w:rPr>
  </w:style>
  <w:style w:type="paragraph" w:customStyle="1" w:styleId="48">
    <w:name w:val="正文_2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9">
    <w:name w:val="正文_0"/>
    <w:qFormat/>
    <w:uiPriority w:val="0"/>
    <w:rPr>
      <w:rFonts w:ascii="Times New Roman" w:hAnsi="Times New Roman" w:eastAsia="宋体" w:cs="Times New Roman"/>
      <w:sz w:val="21"/>
      <w:lang w:val="en-US" w:eastAsia="zh-CN" w:bidi="ar-SA"/>
    </w:rPr>
  </w:style>
  <w:style w:type="paragraph" w:customStyle="1" w:styleId="50">
    <w:name w:val="标题 3_0"/>
    <w:basedOn w:val="49"/>
    <w:next w:val="51"/>
    <w:qFormat/>
    <w:uiPriority w:val="0"/>
    <w:pPr>
      <w:widowControl w:val="0"/>
      <w:tabs>
        <w:tab w:val="left" w:pos="851"/>
      </w:tabs>
      <w:autoSpaceDE w:val="0"/>
      <w:autoSpaceDN w:val="0"/>
      <w:adjustRightInd w:val="0"/>
      <w:snapToGrid w:val="0"/>
      <w:spacing w:line="360" w:lineRule="auto"/>
      <w:jc w:val="both"/>
      <w:outlineLvl w:val="2"/>
    </w:pPr>
    <w:rPr>
      <w:rFonts w:ascii="宋体" w:cs="宋体"/>
    </w:rPr>
  </w:style>
  <w:style w:type="paragraph" w:customStyle="1" w:styleId="51">
    <w:name w:val="正文缩进_0"/>
    <w:basedOn w:val="49"/>
    <w:link w:val="52"/>
    <w:qFormat/>
    <w:uiPriority w:val="0"/>
    <w:pPr>
      <w:ind w:firstLine="420"/>
    </w:pPr>
  </w:style>
  <w:style w:type="character" w:customStyle="1" w:styleId="52">
    <w:name w:val="正文缩进 Char_0"/>
    <w:link w:val="51"/>
    <w:qFormat/>
    <w:uiPriority w:val="0"/>
    <w:rPr>
      <w:rFonts w:ascii="Times New Roman" w:hAnsi="Times New Roman" w:eastAsia="宋体" w:cs="Times New Roman"/>
      <w:sz w:val="21"/>
    </w:rPr>
  </w:style>
  <w:style w:type="paragraph" w:customStyle="1" w:styleId="53">
    <w:name w:val="列表段落1"/>
    <w:basedOn w:val="1"/>
    <w:qFormat/>
    <w:uiPriority w:val="34"/>
    <w:pPr>
      <w:ind w:firstLine="420" w:firstLineChars="200"/>
    </w:pPr>
    <w:rPr>
      <w:rFonts w:ascii="Calibri" w:hAnsi="Calibri" w:eastAsia="宋体" w:cs="Times New Roman"/>
    </w:rPr>
  </w:style>
  <w:style w:type="paragraph" w:customStyle="1" w:styleId="54">
    <w:name w:val="_Style 3"/>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55">
    <w:name w:val="font41"/>
    <w:basedOn w:val="19"/>
    <w:qFormat/>
    <w:uiPriority w:val="0"/>
    <w:rPr>
      <w:rFonts w:hint="eastAsia" w:ascii="宋体" w:hAnsi="宋体" w:eastAsia="宋体" w:cs="宋体"/>
      <w:color w:val="000000"/>
      <w:sz w:val="18"/>
      <w:szCs w:val="18"/>
      <w:u w:val="none"/>
    </w:rPr>
  </w:style>
  <w:style w:type="character" w:customStyle="1" w:styleId="56">
    <w:name w:val="font01"/>
    <w:basedOn w:val="19"/>
    <w:qFormat/>
    <w:uiPriority w:val="0"/>
    <w:rPr>
      <w:rFonts w:ascii="Calibri" w:hAnsi="Calibri" w:cs="Calibri"/>
      <w:color w:val="000000"/>
      <w:sz w:val="18"/>
      <w:szCs w:val="18"/>
      <w:u w:val="none"/>
    </w:rPr>
  </w:style>
  <w:style w:type="character" w:customStyle="1" w:styleId="57">
    <w:name w:val="font31"/>
    <w:basedOn w:val="19"/>
    <w:qFormat/>
    <w:uiPriority w:val="0"/>
    <w:rPr>
      <w:rFonts w:hint="eastAsia" w:ascii="宋体" w:hAnsi="宋体" w:eastAsia="宋体" w:cs="宋体"/>
      <w:color w:val="000000"/>
      <w:sz w:val="18"/>
      <w:szCs w:val="18"/>
      <w:u w:val="none"/>
    </w:rPr>
  </w:style>
  <w:style w:type="paragraph" w:customStyle="1" w:styleId="58">
    <w:name w:val="修订2"/>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59">
    <w:name w:val="标题 1 Char"/>
    <w:basedOn w:val="19"/>
    <w:link w:val="2"/>
    <w:qFormat/>
    <w:uiPriority w:val="9"/>
    <w:rPr>
      <w:rFonts w:asciiTheme="minorHAnsi" w:hAnsiTheme="minorHAnsi" w:eastAsiaTheme="minorEastAsia" w:cstheme="minorBidi"/>
      <w:b/>
      <w:bCs/>
      <w:kern w:val="44"/>
      <w:sz w:val="44"/>
      <w:szCs w:val="44"/>
    </w:rPr>
  </w:style>
  <w:style w:type="paragraph" w:customStyle="1" w:styleId="60">
    <w:name w:val="修订3"/>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61">
    <w:name w:val="列出段落4"/>
    <w:basedOn w:val="1"/>
    <w:qFormat/>
    <w:uiPriority w:val="0"/>
    <w:pPr>
      <w:ind w:firstLine="420" w:firstLineChars="200"/>
    </w:pPr>
    <w:rPr>
      <w:rFonts w:ascii="Times New Roman" w:hAnsi="Times New Roman" w:eastAsia="宋体" w:cs="Times New Roman"/>
      <w:szCs w:val="21"/>
    </w:rPr>
  </w:style>
  <w:style w:type="paragraph" w:customStyle="1" w:styleId="62">
    <w:name w:val="List Paragraph1"/>
    <w:basedOn w:val="1"/>
    <w:qFormat/>
    <w:uiPriority w:val="0"/>
    <w:pPr>
      <w:adjustRightInd w:val="0"/>
      <w:spacing w:line="360" w:lineRule="atLeast"/>
      <w:ind w:firstLine="420" w:firstLineChars="200"/>
    </w:pPr>
    <w:rPr>
      <w:rFonts w:ascii="Times New Roman" w:hAnsi="Times New Roman" w:eastAsia="宋体" w:cs="Times New Roman"/>
      <w:kern w:val="0"/>
      <w:sz w:val="24"/>
      <w:szCs w:val="24"/>
    </w:rPr>
  </w:style>
  <w:style w:type="paragraph" w:customStyle="1" w:styleId="63">
    <w:name w:val="列出段落3"/>
    <w:basedOn w:val="1"/>
    <w:qFormat/>
    <w:uiPriority w:val="0"/>
    <w:pPr>
      <w:ind w:firstLine="420" w:firstLineChars="200"/>
    </w:pPr>
    <w:rPr>
      <w:rFonts w:ascii="Times New Roman" w:hAnsi="Times New Roman" w:eastAsia="宋体" w:cs="Times New Roman"/>
      <w:szCs w:val="21"/>
    </w:rPr>
  </w:style>
  <w:style w:type="character" w:customStyle="1" w:styleId="64">
    <w:name w:val="15"/>
    <w:basedOn w:val="19"/>
    <w:qFormat/>
    <w:uiPriority w:val="0"/>
    <w:rPr>
      <w:rFonts w:hint="default" w:ascii="Times New Roman" w:hAnsi="Times New Roman" w:cs="Times New Roman"/>
      <w:b/>
      <w:bCs/>
    </w:rPr>
  </w:style>
  <w:style w:type="paragraph" w:customStyle="1" w:styleId="65">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66">
    <w:name w:val="列出段落5"/>
    <w:basedOn w:val="1"/>
    <w:qFormat/>
    <w:uiPriority w:val="0"/>
    <w:pPr>
      <w:adjustRightInd w:val="0"/>
      <w:spacing w:line="360" w:lineRule="atLeast"/>
      <w:ind w:firstLine="420" w:firstLineChars="200"/>
      <w:textAlignment w:val="baseline"/>
    </w:pPr>
    <w:rPr>
      <w:rFonts w:ascii="Times New Roman" w:hAnsi="Times New Roman" w:eastAsia="宋体" w:cs="Times New Roman"/>
      <w:kern w:val="0"/>
      <w:sz w:val="24"/>
      <w:szCs w:val="24"/>
    </w:rPr>
  </w:style>
  <w:style w:type="paragraph" w:customStyle="1" w:styleId="67">
    <w:name w:val="修订4"/>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2" Type="http://schemas.openxmlformats.org/officeDocument/2006/relationships/fontTable" Target="fontTable.xml"/><Relationship Id="rId41" Type="http://schemas.openxmlformats.org/officeDocument/2006/relationships/customXml" Target="../customXml/item1.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166FB-2175-4DC2-987A-1E585C9CF101}">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16</Pages>
  <Words>2131</Words>
  <Characters>2243</Characters>
  <Lines>152</Lines>
  <Paragraphs>42</Paragraphs>
  <TotalTime>2</TotalTime>
  <ScaleCrop>false</ScaleCrop>
  <LinksUpToDate>false</LinksUpToDate>
  <CharactersWithSpaces>2256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2023-02-16T04:28:00Z</dcterms:created>
  <dc:creator>dreamsummit</dc:creator>
  <cp:lastModifiedBy>粤生殖</cp:lastModifiedBy>
  <cp:lastPrinted>2021-10-18T09:47:00Z</cp:lastPrinted>
  <dcterms:modified xsi:type="dcterms:W3CDTF">2025-03-07T07:27:32Z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A9CF67FADA9841BB96EB40450CC8D247_13</vt:lpwstr>
  </property>
  <property fmtid="{D5CDD505-2E9C-101B-9397-08002B2CF9AE}" pid="4" name="KSOTemplateDocerSaveRecord">
    <vt:lpwstr>eyJoZGlkIjoiMmYyNzJhMjNmMmIyN2M4MzM5MGI4Y2E4MDk4MzBkOGYiLCJ1c2VySWQiOiIxMjU3NDM4OTQxIn0=</vt:lpwstr>
  </property>
</Properties>
</file>