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after="0" w:line="360" w:lineRule="auto"/>
        <w:ind w:left="0" w:right="0"/>
        <w:jc w:val="center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b/>
          <w:i w:val="0"/>
          <w:strike w:val="0"/>
          <w:color w:val="000000"/>
          <w:sz w:val="24"/>
          <w:u w:val="none"/>
        </w:rPr>
        <w:t>全外显子组（WES）检测服务项目采购需求及技术参数</w:t>
      </w:r>
    </w:p>
    <w:p>
      <w:pPr>
        <w:snapToGrid/>
        <w:spacing w:before="0" w:after="0" w:line="360" w:lineRule="auto"/>
        <w:ind w:left="0" w:right="0"/>
        <w:jc w:val="center"/>
        <w:rPr>
          <w:rFonts w:ascii="宋体" w:hAnsi="宋体" w:eastAsia="宋体" w:cs="宋体"/>
          <w:sz w:val="21"/>
        </w:rPr>
      </w:pPr>
      <w:r>
        <w:rPr>
          <w:rFonts w:ascii="宋体" w:hAnsi="宋体" w:eastAsia="宋体" w:cs="宋体"/>
          <w:b/>
          <w:i w:val="0"/>
          <w:strike w:val="0"/>
          <w:color w:val="000000"/>
          <w:sz w:val="21"/>
          <w:u w:val="none"/>
        </w:rPr>
        <w:t> </w:t>
      </w:r>
    </w:p>
    <w:p>
      <w:pPr>
        <w:tabs>
          <w:tab w:val="left" w:pos="420"/>
          <w:tab w:val="left" w:pos="540"/>
        </w:tabs>
        <w:snapToGrid/>
        <w:spacing w:before="0" w:after="160" w:line="360" w:lineRule="auto"/>
        <w:ind w:left="420" w:right="0" w:hanging="420"/>
        <w:jc w:val="both"/>
        <w:rPr>
          <w:rFonts w:ascii="宋体" w:hAnsi="宋体" w:eastAsia="宋体" w:cs="宋体"/>
          <w:sz w:val="21"/>
        </w:rPr>
      </w:pPr>
      <w:r>
        <w:rPr>
          <w:rFonts w:ascii="宋体" w:hAnsi="宋体" w:eastAsia="宋体" w:cs="宋体"/>
          <w:b/>
          <w:i w:val="0"/>
          <w:strike w:val="0"/>
          <w:color w:val="000000"/>
          <w:sz w:val="21"/>
          <w:u w:val="none"/>
        </w:rPr>
        <w:t>一、基本要求</w:t>
      </w:r>
    </w:p>
    <w:p>
      <w:pPr>
        <w:numPr>
          <w:numId w:val="0"/>
        </w:numPr>
        <w:tabs>
          <w:tab w:val="left" w:pos="420"/>
        </w:tabs>
        <w:snapToGrid/>
        <w:spacing w:before="0" w:after="0" w:line="360" w:lineRule="auto"/>
        <w:ind w:leftChars="0"/>
        <w:jc w:val="left"/>
        <w:rPr>
          <w:rFonts w:ascii="宋体" w:hAnsi="宋体" w:eastAsia="宋体" w:cs="宋体"/>
          <w:color w:val="282828"/>
          <w:sz w:val="21"/>
        </w:rPr>
      </w:pPr>
      <w:r>
        <w:rPr>
          <w:rFonts w:hint="eastAsia" w:ascii="宋体" w:hAnsi="宋体" w:eastAsia="宋体" w:cs="宋体"/>
          <w:i w:val="0"/>
          <w:strike w:val="0"/>
          <w:color w:val="282828"/>
          <w:sz w:val="21"/>
          <w:u w:val="none"/>
          <w:shd w:val="clear" w:color="auto" w:fill="FFFFFF"/>
          <w:lang w:val="en-US" w:eastAsia="zh-CN"/>
        </w:rPr>
        <w:t>1.</w:t>
      </w:r>
      <w:r>
        <w:rPr>
          <w:rFonts w:ascii="宋体" w:hAnsi="宋体" w:eastAsia="宋体" w:cs="宋体"/>
          <w:i w:val="0"/>
          <w:strike w:val="0"/>
          <w:color w:val="282828"/>
          <w:sz w:val="21"/>
          <w:u w:val="none"/>
          <w:shd w:val="clear" w:color="auto" w:fill="FFFFFF"/>
        </w:rPr>
        <w:t>项目名称：全外显子组（WES）检测服务项目采购。</w:t>
      </w:r>
    </w:p>
    <w:p>
      <w:pPr>
        <w:numPr>
          <w:numId w:val="0"/>
        </w:numPr>
        <w:tabs>
          <w:tab w:val="left" w:pos="420"/>
        </w:tabs>
        <w:snapToGrid/>
        <w:spacing w:before="0" w:after="0" w:line="360" w:lineRule="auto"/>
        <w:ind w:leftChars="0"/>
        <w:jc w:val="left"/>
        <w:rPr>
          <w:rFonts w:ascii="宋体" w:hAnsi="宋体" w:eastAsia="宋体" w:cs="宋体"/>
          <w:color w:val="282828"/>
          <w:sz w:val="21"/>
        </w:rPr>
      </w:pPr>
      <w:r>
        <w:rPr>
          <w:rFonts w:hint="eastAsia" w:ascii="宋体" w:hAnsi="宋体" w:eastAsia="宋体" w:cs="宋体"/>
          <w:i w:val="0"/>
          <w:strike w:val="0"/>
          <w:color w:val="282828"/>
          <w:sz w:val="21"/>
          <w:u w:val="none"/>
          <w:shd w:val="clear" w:color="auto" w:fill="FFFFFF"/>
          <w:lang w:val="en-US" w:eastAsia="zh-CN"/>
        </w:rPr>
        <w:t>2.</w:t>
      </w:r>
      <w:r>
        <w:rPr>
          <w:rFonts w:ascii="宋体" w:hAnsi="宋体" w:eastAsia="宋体" w:cs="宋体"/>
          <w:i w:val="0"/>
          <w:strike w:val="0"/>
          <w:color w:val="282828"/>
          <w:sz w:val="21"/>
          <w:u w:val="none"/>
          <w:shd w:val="clear" w:color="auto" w:fill="FFFFFF"/>
        </w:rPr>
        <w:t>项目主要内容：</w:t>
      </w:r>
    </w:p>
    <w:tbl>
      <w:tblPr>
        <w:tblStyle w:val="5"/>
        <w:tblW w:w="0" w:type="auto"/>
        <w:tblInd w:w="0" w:type="dxa"/>
        <w:tblBorders>
          <w:top w:val="single" w:color="CBCDD1" w:sz="6" w:space="0"/>
          <w:left w:val="single" w:color="CBCDD1" w:sz="6" w:space="0"/>
          <w:bottom w:val="single" w:color="CBCDD1" w:sz="6" w:space="0"/>
          <w:right w:val="single" w:color="CBCDD1" w:sz="6" w:space="0"/>
          <w:insideH w:val="single" w:color="CBCDD1" w:sz="6" w:space="0"/>
          <w:insideV w:val="single" w:color="CBCDD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820"/>
        <w:gridCol w:w="1410"/>
        <w:gridCol w:w="2820"/>
      </w:tblGrid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360" w:lineRule="auto"/>
              <w:ind w:left="0" w:right="0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282828"/>
                <w:spacing w:val="0"/>
                <w:sz w:val="21"/>
                <w:u w:val="none"/>
              </w:rPr>
              <w:t>序号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360" w:lineRule="auto"/>
              <w:ind w:left="0" w:right="0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282828"/>
                <w:spacing w:val="0"/>
                <w:sz w:val="21"/>
                <w:u w:val="none"/>
              </w:rPr>
              <w:t>内容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360" w:lineRule="auto"/>
              <w:ind w:left="0" w:right="0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282828"/>
                <w:spacing w:val="0"/>
                <w:sz w:val="21"/>
                <w:u w:val="none"/>
              </w:rPr>
              <w:t>数量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360" w:lineRule="auto"/>
              <w:ind w:left="0" w:right="0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282828"/>
                <w:spacing w:val="0"/>
                <w:sz w:val="21"/>
                <w:u w:val="none"/>
              </w:rPr>
              <w:t>服务期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360" w:lineRule="auto"/>
              <w:ind w:left="0" w:right="0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282828"/>
                <w:spacing w:val="0"/>
                <w:sz w:val="21"/>
                <w:u w:val="none"/>
              </w:rPr>
              <w:t>1</w:t>
            </w:r>
          </w:p>
        </w:tc>
        <w:tc>
          <w:tcPr>
            <w:tcW w:w="282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360" w:lineRule="auto"/>
              <w:ind w:left="0" w:right="0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282828"/>
                <w:spacing w:val="0"/>
                <w:sz w:val="21"/>
                <w:u w:val="none"/>
              </w:rPr>
              <w:t>全外显子组（WES）检测服务项目</w:t>
            </w:r>
          </w:p>
        </w:tc>
        <w:tc>
          <w:tcPr>
            <w:tcW w:w="141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360" w:lineRule="auto"/>
              <w:ind w:left="0" w:right="0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282828"/>
                <w:spacing w:val="0"/>
                <w:sz w:val="21"/>
                <w:u w:val="none"/>
              </w:rPr>
              <w:t>1</w:t>
            </w:r>
          </w:p>
        </w:tc>
        <w:tc>
          <w:tcPr>
            <w:tcW w:w="282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360" w:lineRule="auto"/>
              <w:ind w:left="0" w:right="0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282828"/>
                <w:spacing w:val="0"/>
                <w:sz w:val="21"/>
                <w:u w:val="none"/>
              </w:rPr>
              <w:t>合同签订日2年以内</w:t>
            </w:r>
          </w:p>
        </w:tc>
      </w:tr>
    </w:tbl>
    <w:p>
      <w:pPr>
        <w:numPr>
          <w:numId w:val="0"/>
        </w:numPr>
        <w:tabs>
          <w:tab w:val="left" w:pos="540"/>
        </w:tabs>
        <w:snapToGrid/>
        <w:spacing w:before="0" w:after="0" w:line="360" w:lineRule="auto"/>
        <w:ind w:leftChars="0"/>
        <w:jc w:val="left"/>
        <w:rPr>
          <w:rFonts w:ascii="宋体" w:hAnsi="宋体" w:eastAsia="宋体" w:cs="宋体"/>
          <w:color w:val="282828"/>
          <w:sz w:val="21"/>
        </w:rPr>
      </w:pPr>
      <w:r>
        <w:rPr>
          <w:rFonts w:hint="eastAsia" w:ascii="宋体" w:hAnsi="宋体" w:eastAsia="宋体" w:cs="宋体"/>
          <w:i w:val="0"/>
          <w:strike w:val="0"/>
          <w:color w:val="282828"/>
          <w:sz w:val="21"/>
          <w:u w:val="none"/>
          <w:shd w:val="clear" w:color="auto" w:fill="FFFFFF"/>
          <w:lang w:val="en-US" w:eastAsia="zh-CN"/>
        </w:rPr>
        <w:t>3.</w:t>
      </w:r>
      <w:r>
        <w:rPr>
          <w:rFonts w:ascii="宋体" w:hAnsi="宋体" w:eastAsia="宋体" w:cs="宋体"/>
          <w:i w:val="0"/>
          <w:strike w:val="0"/>
          <w:color w:val="282828"/>
          <w:sz w:val="21"/>
          <w:u w:val="none"/>
          <w:shd w:val="clear" w:color="auto" w:fill="FFFFFF"/>
        </w:rPr>
        <w:t>项目采购方式：院内竞争性谈判。</w:t>
      </w:r>
    </w:p>
    <w:p>
      <w:pPr>
        <w:pBdr>
          <w:bottom w:val="none" w:color="auto" w:sz="0" w:space="0"/>
        </w:pBdr>
        <w:tabs>
          <w:tab w:val="left" w:pos="540"/>
        </w:tabs>
        <w:snapToGrid/>
        <w:spacing w:before="0" w:after="0" w:line="360" w:lineRule="auto"/>
        <w:ind w:left="420"/>
        <w:jc w:val="left"/>
        <w:rPr>
          <w:rFonts w:ascii="宋体" w:hAnsi="宋体" w:eastAsia="宋体" w:cs="宋体"/>
          <w:color w:val="282828"/>
          <w:sz w:val="21"/>
        </w:rPr>
      </w:pPr>
    </w:p>
    <w:p>
      <w:pPr>
        <w:tabs>
          <w:tab w:val="left" w:pos="420"/>
          <w:tab w:val="left" w:pos="540"/>
        </w:tabs>
        <w:snapToGrid/>
        <w:spacing w:before="0" w:after="160" w:line="360" w:lineRule="auto"/>
        <w:ind w:left="420" w:right="0" w:hanging="420"/>
        <w:jc w:val="both"/>
        <w:rPr>
          <w:rFonts w:ascii="宋体" w:hAnsi="宋体" w:eastAsia="宋体" w:cs="宋体"/>
          <w:sz w:val="21"/>
        </w:rPr>
      </w:pPr>
      <w:r>
        <w:rPr>
          <w:rFonts w:ascii="宋体" w:hAnsi="宋体" w:eastAsia="宋体" w:cs="宋体"/>
          <w:i w:val="0"/>
          <w:strike w:val="0"/>
          <w:color w:val="000000"/>
          <w:sz w:val="21"/>
          <w:u w:val="none"/>
        </w:rPr>
        <w:t>二、</w:t>
      </w:r>
      <w:r>
        <w:rPr>
          <w:rFonts w:ascii="宋体" w:hAnsi="宋体" w:eastAsia="宋体" w:cs="宋体"/>
          <w:b/>
          <w:i w:val="0"/>
          <w:strike w:val="0"/>
          <w:color w:val="000000"/>
          <w:sz w:val="21"/>
          <w:u w:val="none"/>
        </w:rPr>
        <w:t>主要技术要求</w:t>
      </w:r>
      <w:bookmarkStart w:id="1" w:name="_GoBack"/>
      <w:bookmarkEnd w:id="1"/>
    </w:p>
    <w:p>
      <w:pPr>
        <w:numPr>
          <w:ilvl w:val="0"/>
          <w:numId w:val="1"/>
        </w:numPr>
        <w:snapToGrid/>
        <w:spacing w:before="0" w:after="0" w:line="360" w:lineRule="auto"/>
        <w:jc w:val="left"/>
        <w:rPr>
          <w:rFonts w:ascii="宋体" w:hAnsi="宋体" w:eastAsia="宋体" w:cs="宋体"/>
          <w:sz w:val="21"/>
        </w:rPr>
      </w:pPr>
      <w:r>
        <w:rPr>
          <w:rFonts w:ascii="宋体" w:hAnsi="宋体" w:eastAsia="宋体" w:cs="宋体"/>
          <w:i w:val="0"/>
          <w:strike w:val="0"/>
          <w:color w:val="000000"/>
          <w:sz w:val="21"/>
          <w:u w:val="none"/>
        </w:rPr>
        <w:t xml:space="preserve">▲检测内容：包含人类基因组20000+编码基因的全部外显子区域及外显子毗邻±25bp区域、线粒体全基因组。 </w:t>
      </w:r>
    </w:p>
    <w:p>
      <w:pPr>
        <w:numPr>
          <w:ilvl w:val="0"/>
          <w:numId w:val="1"/>
        </w:numPr>
        <w:snapToGrid/>
        <w:spacing w:before="0" w:after="0" w:line="360" w:lineRule="auto"/>
        <w:jc w:val="left"/>
        <w:rPr>
          <w:rFonts w:ascii="宋体" w:hAnsi="宋体" w:eastAsia="宋体" w:cs="宋体"/>
          <w:sz w:val="21"/>
        </w:rPr>
      </w:pPr>
      <w:r>
        <w:rPr>
          <w:rFonts w:ascii="宋体" w:hAnsi="宋体" w:eastAsia="宋体" w:cs="宋体"/>
          <w:i w:val="0"/>
          <w:strike w:val="0"/>
          <w:color w:val="000000"/>
          <w:sz w:val="21"/>
          <w:u w:val="none"/>
        </w:rPr>
        <w:t>检测方法：靶向捕获技术+高通量测序</w:t>
      </w:r>
    </w:p>
    <w:p>
      <w:pPr>
        <w:numPr>
          <w:ilvl w:val="0"/>
          <w:numId w:val="1"/>
        </w:numPr>
        <w:snapToGrid/>
        <w:spacing w:before="0" w:after="0" w:line="360" w:lineRule="auto"/>
        <w:jc w:val="left"/>
        <w:rPr>
          <w:rFonts w:ascii="宋体" w:hAnsi="宋体" w:eastAsia="宋体" w:cs="宋体"/>
          <w:sz w:val="21"/>
        </w:rPr>
      </w:pPr>
      <w:r>
        <w:rPr>
          <w:rFonts w:ascii="宋体" w:hAnsi="宋体" w:eastAsia="宋体" w:cs="宋体"/>
          <w:i w:val="0"/>
          <w:strike w:val="0"/>
          <w:color w:val="000000"/>
          <w:sz w:val="21"/>
          <w:u w:val="none"/>
        </w:rPr>
        <w:t>▲质控标准：单个样本的测序数据量在12Gb以上，平均测序深度≥100X，捕获效率≥60%，靶标区域覆盖度≥99%，测序深度大于30X的区域≥90%，Q30碱基百分比≥90%。线粒体基因组平均深度≥10000X。</w:t>
      </w:r>
    </w:p>
    <w:p>
      <w:pPr>
        <w:numPr>
          <w:ilvl w:val="0"/>
          <w:numId w:val="1"/>
        </w:numPr>
        <w:snapToGrid/>
        <w:spacing w:before="0" w:after="0" w:line="360" w:lineRule="auto"/>
        <w:jc w:val="left"/>
        <w:rPr>
          <w:rFonts w:ascii="宋体" w:hAnsi="宋体" w:eastAsia="宋体" w:cs="宋体"/>
          <w:sz w:val="21"/>
        </w:rPr>
      </w:pPr>
      <w:r>
        <w:rPr>
          <w:rFonts w:ascii="宋体" w:hAnsi="宋体" w:eastAsia="宋体" w:cs="宋体"/>
          <w:i w:val="0"/>
          <w:strike w:val="0"/>
          <w:color w:val="000000"/>
          <w:sz w:val="21"/>
          <w:u w:val="none"/>
        </w:rPr>
        <w:t>▲数据分析内容：（1）单核苷酸变异SNVs；（2）小片段插入缺失InDels（≤50bp）；（3）通过二代测序数据运用数据算法能够精准分析100kb以上CNV，包括分析单个外显子、多个外显子、染色体层面的缺失和重复变异，能覆盖DMD、α-地中海贫血、SMA等遗传病的特殊类型变异；（4）可以实现低至1%的线粒体变异检测；（5）核心家系全外显子检测可分析UPD变异。</w:t>
      </w:r>
    </w:p>
    <w:p>
      <w:pPr>
        <w:numPr>
          <w:ilvl w:val="0"/>
          <w:numId w:val="1"/>
        </w:numPr>
        <w:snapToGrid/>
        <w:spacing w:before="0" w:after="0" w:line="360" w:lineRule="auto"/>
        <w:jc w:val="left"/>
        <w:rPr>
          <w:rFonts w:ascii="宋体" w:hAnsi="宋体" w:eastAsia="宋体" w:cs="宋体"/>
          <w:sz w:val="21"/>
        </w:rPr>
      </w:pPr>
      <w:bookmarkStart w:id="0" w:name="OLE_LINK14"/>
      <w:r>
        <w:rPr>
          <w:rFonts w:ascii="宋体" w:hAnsi="宋体" w:eastAsia="宋体" w:cs="宋体"/>
          <w:i w:val="0"/>
          <w:strike w:val="0"/>
          <w:color w:val="000000"/>
          <w:sz w:val="21"/>
          <w:u w:val="none"/>
        </w:rPr>
        <w:t>5)数据分析与解读：位点致病性的解读需要参考ACMG发布的位点致病性解读指南。同时按照临床实验室改进修正案（CLIA）和美国病理学家学会（CAP）的要求进行可靠的验证，以保证灵敏度、特异性和准确度达到要求，从而确保检出、分析及报出结果的准确性。</w:t>
      </w:r>
      <w:bookmarkEnd w:id="0"/>
    </w:p>
    <w:p>
      <w:pPr>
        <w:numPr>
          <w:ilvl w:val="0"/>
          <w:numId w:val="1"/>
        </w:numPr>
        <w:snapToGrid/>
        <w:spacing w:before="0" w:after="0" w:line="360" w:lineRule="auto"/>
        <w:jc w:val="left"/>
        <w:rPr>
          <w:rFonts w:ascii="宋体" w:hAnsi="宋体" w:eastAsia="宋体" w:cs="宋体"/>
          <w:sz w:val="21"/>
        </w:rPr>
      </w:pPr>
      <w:r>
        <w:rPr>
          <w:rFonts w:ascii="宋体" w:hAnsi="宋体" w:eastAsia="宋体" w:cs="宋体"/>
          <w:i w:val="0"/>
          <w:strike w:val="0"/>
          <w:color w:val="000000"/>
          <w:sz w:val="21"/>
          <w:u w:val="none"/>
        </w:rPr>
        <w:t>数据重分析：在全外显子组检测分析完成及交付遗传病基因检测报告后，可在2年内对原始数据进行2次免费数据分析服务。</w:t>
      </w:r>
    </w:p>
    <w:p>
      <w:pPr>
        <w:numPr>
          <w:ilvl w:val="0"/>
          <w:numId w:val="1"/>
        </w:numPr>
        <w:snapToGrid/>
        <w:spacing w:before="0" w:after="0" w:line="360" w:lineRule="auto"/>
        <w:jc w:val="left"/>
        <w:rPr>
          <w:rFonts w:ascii="宋体" w:hAnsi="宋体" w:eastAsia="宋体" w:cs="宋体"/>
          <w:sz w:val="21"/>
        </w:rPr>
      </w:pPr>
      <w:r>
        <w:rPr>
          <w:rFonts w:ascii="宋体" w:hAnsi="宋体" w:eastAsia="宋体" w:cs="宋体"/>
          <w:i w:val="0"/>
          <w:strike w:val="0"/>
          <w:color w:val="000000"/>
          <w:sz w:val="21"/>
          <w:u w:val="none"/>
        </w:rPr>
        <w:t>补充检测技术验证服务：对于检测范围内的SNV/Indel变异，免费进行金标准Sanger测序验证；对于一些特殊的基因（如假基因）检测，大片段CNV（&lt;1Mb），有能力提供特异性长链PCR+巢式PCR+Sanger测序、CNV-seq等技术的验证服务；对于检出的内含子区域VUS剪切变异，有能力提供转录水平验证服务，提升位点致病性等级评价证据。</w:t>
      </w:r>
    </w:p>
    <w:p>
      <w:pPr>
        <w:numPr>
          <w:ilvl w:val="0"/>
          <w:numId w:val="1"/>
        </w:numPr>
        <w:snapToGrid/>
        <w:spacing w:before="0" w:after="0" w:line="360" w:lineRule="auto"/>
        <w:jc w:val="left"/>
        <w:rPr>
          <w:rFonts w:ascii="宋体" w:hAnsi="宋体" w:eastAsia="宋体" w:cs="宋体"/>
          <w:sz w:val="21"/>
        </w:rPr>
      </w:pPr>
      <w:r>
        <w:rPr>
          <w:rFonts w:ascii="宋体" w:hAnsi="宋体" w:eastAsia="宋体" w:cs="宋体"/>
          <w:i w:val="0"/>
          <w:strike w:val="0"/>
          <w:color w:val="000000"/>
          <w:sz w:val="21"/>
          <w:u w:val="none"/>
        </w:rPr>
        <w:t>★可根据临床需求，为进行WES的助孕女性提供基于WES的供精者数据匹配方案，并提供相应方案描述。</w:t>
      </w:r>
    </w:p>
    <w:p>
      <w:pPr>
        <w:numPr>
          <w:ilvl w:val="0"/>
          <w:numId w:val="1"/>
        </w:numPr>
        <w:snapToGrid/>
        <w:spacing w:before="0" w:after="0" w:line="360" w:lineRule="auto"/>
        <w:jc w:val="left"/>
        <w:rPr>
          <w:rFonts w:ascii="宋体" w:hAnsi="宋体" w:eastAsia="宋体" w:cs="宋体"/>
          <w:sz w:val="21"/>
        </w:rPr>
      </w:pPr>
      <w:r>
        <w:rPr>
          <w:rFonts w:ascii="宋体" w:hAnsi="宋体" w:eastAsia="宋体" w:cs="宋体"/>
          <w:i w:val="0"/>
          <w:strike w:val="0"/>
          <w:color w:val="000000"/>
          <w:sz w:val="21"/>
          <w:u w:val="none"/>
        </w:rPr>
        <w:t>至少完成100例基于WES的供精者基因检测，提供相应检测结果情况证明。</w:t>
      </w:r>
    </w:p>
    <w:p>
      <w:pPr>
        <w:numPr>
          <w:ilvl w:val="0"/>
          <w:numId w:val="1"/>
        </w:numPr>
        <w:snapToGrid/>
        <w:spacing w:before="0" w:after="0" w:line="360" w:lineRule="auto"/>
        <w:jc w:val="left"/>
        <w:rPr>
          <w:rFonts w:ascii="宋体" w:hAnsi="宋体" w:eastAsia="宋体" w:cs="宋体"/>
          <w:sz w:val="21"/>
        </w:rPr>
      </w:pPr>
      <w:r>
        <w:rPr>
          <w:rFonts w:ascii="宋体" w:hAnsi="宋体" w:eastAsia="宋体" w:cs="宋体"/>
          <w:i w:val="0"/>
          <w:strike w:val="0"/>
          <w:color w:val="000000"/>
          <w:sz w:val="21"/>
          <w:u w:val="none"/>
        </w:rPr>
        <w:t>★可针对助孕女性提供基于WES的“单基因遗传病携带者筛查”保险，并提供保险合作协议作为证明。</w:t>
      </w:r>
    </w:p>
    <w:p>
      <w:pPr>
        <w:numPr>
          <w:ilvl w:val="0"/>
          <w:numId w:val="1"/>
        </w:numPr>
        <w:snapToGrid/>
        <w:spacing w:before="0" w:after="0" w:line="360" w:lineRule="auto"/>
        <w:jc w:val="left"/>
        <w:rPr>
          <w:rFonts w:ascii="宋体" w:hAnsi="宋体" w:eastAsia="宋体" w:cs="宋体"/>
          <w:sz w:val="21"/>
        </w:rPr>
      </w:pPr>
      <w:r>
        <w:rPr>
          <w:rFonts w:ascii="宋体" w:hAnsi="宋体" w:eastAsia="宋体" w:cs="宋体"/>
          <w:i w:val="0"/>
          <w:strike w:val="0"/>
          <w:color w:val="000000"/>
          <w:sz w:val="21"/>
          <w:u w:val="none"/>
        </w:rPr>
        <w:t>本地化生信分析能力：具有提供配套的数据分析系统及数据库，搭建本地化数据分析平台的能力。</w:t>
      </w:r>
    </w:p>
    <w:p>
      <w:pPr>
        <w:numPr>
          <w:ilvl w:val="0"/>
          <w:numId w:val="1"/>
        </w:numPr>
        <w:snapToGrid/>
        <w:spacing w:before="0" w:after="0" w:line="360" w:lineRule="auto"/>
        <w:jc w:val="left"/>
        <w:rPr>
          <w:rFonts w:ascii="宋体" w:hAnsi="宋体" w:eastAsia="宋体" w:cs="宋体"/>
          <w:sz w:val="21"/>
        </w:rPr>
      </w:pPr>
      <w:r>
        <w:rPr>
          <w:rFonts w:ascii="宋体" w:hAnsi="宋体" w:eastAsia="宋体" w:cs="宋体"/>
          <w:i w:val="0"/>
          <w:strike w:val="0"/>
          <w:color w:val="000000"/>
          <w:sz w:val="21"/>
          <w:u w:val="none"/>
        </w:rPr>
        <w:t>合作文章发表：合作单位基于该技术发表的SCI文章≥5篇，并提供对应证明材料。</w:t>
      </w:r>
    </w:p>
    <w:p>
      <w:pPr>
        <w:numPr>
          <w:ilvl w:val="0"/>
          <w:numId w:val="1"/>
        </w:numPr>
        <w:snapToGrid/>
        <w:spacing w:before="0" w:after="0" w:line="360" w:lineRule="auto"/>
        <w:jc w:val="left"/>
        <w:rPr>
          <w:rFonts w:ascii="宋体" w:hAnsi="宋体" w:eastAsia="宋体" w:cs="宋体"/>
          <w:sz w:val="21"/>
        </w:rPr>
      </w:pPr>
      <w:r>
        <w:rPr>
          <w:rFonts w:ascii="宋体" w:hAnsi="宋体" w:eastAsia="宋体" w:cs="宋体"/>
          <w:i w:val="0"/>
          <w:strike w:val="0"/>
          <w:color w:val="000000"/>
          <w:sz w:val="21"/>
          <w:u w:val="none"/>
        </w:rPr>
        <w:t>遗传咨询能力：投标单位至少 5人拥有权威机构颁发的遗传咨询师相关证书（提供证明材料）。</w:t>
      </w:r>
    </w:p>
    <w:p>
      <w:pPr>
        <w:snapToGrid/>
        <w:spacing w:before="0" w:after="0" w:line="360" w:lineRule="auto"/>
        <w:ind w:left="0" w:right="0"/>
        <w:jc w:val="both"/>
        <w:rPr>
          <w:rFonts w:ascii="宋体" w:hAnsi="宋体" w:eastAsia="宋体" w:cs="宋体"/>
          <w:sz w:val="21"/>
        </w:rPr>
      </w:pPr>
      <w:r>
        <w:rPr>
          <w:rFonts w:ascii="宋体" w:hAnsi="宋体" w:eastAsia="宋体" w:cs="宋体"/>
          <w:i w:val="0"/>
          <w:strike w:val="0"/>
          <w:color w:val="000000"/>
          <w:sz w:val="21"/>
          <w:u w:val="none"/>
        </w:rPr>
        <w:t>（注：评标方法为综合评分法时带“▲”的参数需求为实质性要求，供应商必须响应并满足的参数需求，采购人、采购代理机构应当根据项目实际需求合理设定，并明确具体要求。带“★”号条款为允许负偏离的参数需求，若未响应或者不满足，将在综合评审中予以扣分处理。）</w:t>
      </w:r>
    </w:p>
    <w:p>
      <w:pPr>
        <w:snapToGrid/>
        <w:spacing w:before="0" w:after="0" w:line="360" w:lineRule="auto"/>
        <w:ind w:left="0" w:right="0"/>
        <w:jc w:val="both"/>
        <w:rPr>
          <w:rFonts w:ascii="宋体" w:hAnsi="宋体" w:eastAsia="宋体" w:cs="宋体"/>
          <w:sz w:val="21"/>
        </w:rPr>
      </w:pPr>
      <w:r>
        <w:rPr>
          <w:rFonts w:ascii="宋体" w:hAnsi="宋体" w:eastAsia="宋体" w:cs="宋体"/>
          <w:i w:val="0"/>
          <w:strike w:val="0"/>
          <w:color w:val="000000"/>
          <w:sz w:val="21"/>
          <w:u w:val="none"/>
        </w:rPr>
        <w:t> </w:t>
      </w:r>
    </w:p>
    <w:p>
      <w:pPr>
        <w:pStyle w:val="3"/>
        <w:snapToGrid/>
        <w:spacing w:line="240" w:lineRule="auto"/>
        <w:jc w:val="left"/>
        <w:rPr>
          <w:rFonts w:ascii="宋体" w:hAnsi="宋体" w:eastAsia="宋体" w:cs="宋体"/>
          <w:sz w:val="21"/>
        </w:rPr>
      </w:pPr>
    </w:p>
    <w:p>
      <w:pPr>
        <w:snapToGrid/>
        <w:spacing w:line="240" w:lineRule="auto"/>
        <w:rPr>
          <w:rFonts w:ascii="宋体" w:hAnsi="宋体" w:eastAsia="宋体" w:cs="宋体"/>
          <w:sz w:val="21"/>
        </w:rPr>
      </w:pPr>
    </w:p>
    <w:sectPr>
      <w:pgSz w:w="11905" w:h="16838"/>
      <w:pgMar w:top="1361" w:right="1417" w:bottom="1361" w:left="1417" w:header="720" w:footer="720" w:gutter="0"/>
      <w:docGrid w:type="lines" w:linePitch="4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)"/>
      <w:lvlJc w:val="left"/>
      <w:pPr>
        <w:ind w:left="440" w:hanging="440"/>
      </w:pPr>
      <w:rPr>
        <w:color w:val="auto"/>
      </w:rPr>
    </w:lvl>
    <w:lvl w:ilvl="1" w:tentative="0">
      <w:start w:val="1"/>
      <w:numFmt w:val="bullet"/>
      <w:lvlText w:val="▲"/>
      <w:lvlJc w:val="left"/>
      <w:pPr>
        <w:ind w:left="800" w:hanging="360"/>
      </w:pPr>
      <w:rPr>
        <w:rFonts w:hint="default" w:ascii="Wingdings" w:hAnsi="Wingdings" w:eastAsia="Wingdings" w:cs="Wingdings"/>
      </w:rPr>
    </w:lvl>
    <w:lvl w:ilvl="2" w:tentative="0">
      <w:start w:val="1"/>
      <w:numFmt w:val="lowerRoman"/>
      <w:lvlText w:val="%3."/>
      <w:lvlJc w:val="lef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lef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A0"/>
    <w:rsid w:val="00680AC3"/>
    <w:rsid w:val="007452DF"/>
    <w:rsid w:val="00E023A0"/>
    <w:rsid w:val="01DB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napToGrid w:val="0"/>
      <w:spacing w:before="60" w:after="60" w:line="240" w:lineRule="auto"/>
      <w:jc w:val="left"/>
    </w:pPr>
    <w:rPr>
      <w:color w:val="333333"/>
      <w:kern w:val="2"/>
      <w:sz w:val="22"/>
      <w:szCs w:val="22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9"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table" w:styleId="5">
    <w:name w:val="Table Grid"/>
    <w:basedOn w:val="4"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</w:tblPr>
    <w:tcPr>
      <w:vAlign w:val="center"/>
    </w:tcPr>
  </w:style>
  <w:style w:type="character" w:styleId="7">
    <w:name w:val="Hyperlink"/>
    <w:basedOn w:val="6"/>
    <w:unhideWhenUsed/>
    <w:uiPriority w:val="99"/>
    <w:rPr>
      <w:color w:val="1E6F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melo-codeblock-Base-theme-para"/>
    <w:basedOn w:val="1"/>
    <w:uiPriority w:val="0"/>
    <w:pPr>
      <w:spacing w:before="0" w:after="0" w:line="360" w:lineRule="auto"/>
    </w:pPr>
    <w:rPr>
      <w:rFonts w:ascii="Monaco" w:hAnsi="Monaco" w:eastAsia="Monaco" w:cs="Monaco"/>
      <w:color w:val="000000"/>
      <w:sz w:val="21"/>
    </w:rPr>
  </w:style>
  <w:style w:type="character" w:customStyle="1" w:styleId="9">
    <w:name w:val="melo-codeblock-Base-theme-char"/>
    <w:qFormat/>
    <w:uiPriority w:val="0"/>
    <w:rPr>
      <w:rFonts w:ascii="Monaco" w:hAnsi="Monaco" w:eastAsia="Monaco" w:cs="Monaco"/>
      <w:color w:val="000000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1E6FFF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Office_11.8.6.8810_F1E327BC-269C-435d-A152-05C5408002CA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2024-01-25T11:34:00Z</dcterms:created>
  <dc:creator>Administrator</dc:creator>
  <cp:lastModifiedBy>Administrator</cp:lastModifiedBy>
  <dcterms:modified xsi:type="dcterms:W3CDTF">2024-02-01T09:07:32Z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