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开放课题清单</w:t>
      </w:r>
    </w:p>
    <w:tbl>
      <w:tblPr>
        <w:tblStyle w:val="2"/>
        <w:tblpPr w:leftFromText="180" w:rightFromText="180" w:vertAnchor="text" w:horzAnchor="page" w:tblpX="1567" w:tblpY="348"/>
        <w:tblOverlap w:val="never"/>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709"/>
        <w:gridCol w:w="1118"/>
        <w:gridCol w:w="1132"/>
        <w:gridCol w:w="4664"/>
        <w:gridCol w:w="3995"/>
        <w:gridCol w:w="982"/>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41" w:type="dxa"/>
            <w:noWrap w:val="0"/>
            <w:vAlign w:val="center"/>
          </w:tcPr>
          <w:p>
            <w:pPr>
              <w:spacing w:line="360" w:lineRule="auto"/>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序号</w:t>
            </w:r>
          </w:p>
        </w:tc>
        <w:tc>
          <w:tcPr>
            <w:tcW w:w="709" w:type="dxa"/>
            <w:noWrap w:val="0"/>
            <w:vAlign w:val="center"/>
          </w:tcPr>
          <w:p>
            <w:pPr>
              <w:spacing w:line="360" w:lineRule="auto"/>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年份</w:t>
            </w:r>
          </w:p>
        </w:tc>
        <w:tc>
          <w:tcPr>
            <w:tcW w:w="1118" w:type="dxa"/>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类型</w:t>
            </w:r>
          </w:p>
        </w:tc>
        <w:tc>
          <w:tcPr>
            <w:tcW w:w="1132" w:type="dxa"/>
            <w:noWrap w:val="0"/>
            <w:vAlign w:val="center"/>
          </w:tcPr>
          <w:p>
            <w:pPr>
              <w:tabs>
                <w:tab w:val="left" w:pos="303"/>
              </w:tabs>
              <w:spacing w:line="360" w:lineRule="auto"/>
              <w:jc w:val="center"/>
              <w:rPr>
                <w:rFonts w:hint="default"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提交材料</w:t>
            </w:r>
          </w:p>
        </w:tc>
        <w:tc>
          <w:tcPr>
            <w:tcW w:w="4664" w:type="dxa"/>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课题名称</w:t>
            </w:r>
          </w:p>
        </w:tc>
        <w:tc>
          <w:tcPr>
            <w:tcW w:w="3995" w:type="dxa"/>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申报单位、申报人</w:t>
            </w:r>
          </w:p>
        </w:tc>
        <w:tc>
          <w:tcPr>
            <w:tcW w:w="982" w:type="dxa"/>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合作者</w:t>
            </w:r>
          </w:p>
        </w:tc>
        <w:tc>
          <w:tcPr>
            <w:tcW w:w="859" w:type="dxa"/>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1</w:t>
            </w:r>
          </w:p>
        </w:tc>
        <w:tc>
          <w:tcPr>
            <w:tcW w:w="709"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2019</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重点项目</w:t>
            </w:r>
          </w:p>
        </w:tc>
        <w:tc>
          <w:tcPr>
            <w:tcW w:w="1132" w:type="dxa"/>
            <w:noWrap w:val="0"/>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精氨酸甲基转移酶Carm1缺陷导致少弱畸形精子症的机制研究</w:t>
            </w:r>
          </w:p>
        </w:tc>
        <w:tc>
          <w:tcPr>
            <w:tcW w:w="399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中国科学技术大学附属第一医院、鲍坚强</w:t>
            </w:r>
          </w:p>
        </w:tc>
        <w:tc>
          <w:tcPr>
            <w:tcW w:w="9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秦卫兵</w:t>
            </w:r>
          </w:p>
        </w:tc>
        <w:tc>
          <w:tcPr>
            <w:tcW w:w="859" w:type="dxa"/>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2</w:t>
            </w:r>
          </w:p>
        </w:tc>
        <w:tc>
          <w:tcPr>
            <w:tcW w:w="709"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2019</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重点项目</w:t>
            </w:r>
          </w:p>
        </w:tc>
        <w:tc>
          <w:tcPr>
            <w:tcW w:w="1132"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表观遗传因子Whsc1在精子发生过程中的调控机制研究</w:t>
            </w:r>
          </w:p>
        </w:tc>
        <w:tc>
          <w:tcPr>
            <w:tcW w:w="399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华中科技大学同济医学院生殖健康研究所、李志明</w:t>
            </w:r>
          </w:p>
        </w:tc>
        <w:tc>
          <w:tcPr>
            <w:tcW w:w="9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张欣宗</w:t>
            </w:r>
          </w:p>
        </w:tc>
        <w:tc>
          <w:tcPr>
            <w:tcW w:w="859" w:type="dxa"/>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3</w:t>
            </w:r>
          </w:p>
        </w:tc>
        <w:tc>
          <w:tcPr>
            <w:tcW w:w="709"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2019</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高通量测序技术筛检非梗阻性无精子症不同病理类型致病基因及其分子机制的研究</w:t>
            </w:r>
          </w:p>
        </w:tc>
        <w:tc>
          <w:tcPr>
            <w:tcW w:w="399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南方医科大学南方医院、褚庆军</w:t>
            </w:r>
          </w:p>
        </w:tc>
        <w:tc>
          <w:tcPr>
            <w:tcW w:w="9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赵文忠</w:t>
            </w:r>
          </w:p>
        </w:tc>
        <w:tc>
          <w:tcPr>
            <w:tcW w:w="859" w:type="dxa"/>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4</w:t>
            </w:r>
          </w:p>
        </w:tc>
        <w:tc>
          <w:tcPr>
            <w:tcW w:w="709"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2019</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去泛素化酶USP42调控精子发生的机制研究</w:t>
            </w:r>
          </w:p>
        </w:tc>
        <w:tc>
          <w:tcPr>
            <w:tcW w:w="399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苏州市立医院、郑波</w:t>
            </w:r>
          </w:p>
        </w:tc>
        <w:tc>
          <w:tcPr>
            <w:tcW w:w="9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钟兴明</w:t>
            </w:r>
          </w:p>
        </w:tc>
        <w:tc>
          <w:tcPr>
            <w:tcW w:w="859" w:type="dxa"/>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5</w:t>
            </w:r>
          </w:p>
        </w:tc>
        <w:tc>
          <w:tcPr>
            <w:tcW w:w="709"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2019</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基于队列研究探讨大气污染对男性生育力的影响及精子miRNA的介导作用</w:t>
            </w:r>
          </w:p>
        </w:tc>
        <w:tc>
          <w:tcPr>
            <w:tcW w:w="399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中山大学、刘跃伟</w:t>
            </w:r>
          </w:p>
        </w:tc>
        <w:tc>
          <w:tcPr>
            <w:tcW w:w="9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王奇玲</w:t>
            </w:r>
          </w:p>
        </w:tc>
        <w:tc>
          <w:tcPr>
            <w:tcW w:w="859" w:type="dxa"/>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6</w:t>
            </w:r>
          </w:p>
        </w:tc>
        <w:tc>
          <w:tcPr>
            <w:tcW w:w="709"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2019</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CNP在弱精子症中的作用及机制研究</w:t>
            </w:r>
          </w:p>
        </w:tc>
        <w:tc>
          <w:tcPr>
            <w:tcW w:w="399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华中科技大学同济医学院生殖健康研究所、黄东晖</w:t>
            </w:r>
          </w:p>
        </w:tc>
        <w:tc>
          <w:tcPr>
            <w:tcW w:w="9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宋革</w:t>
            </w:r>
          </w:p>
        </w:tc>
        <w:tc>
          <w:tcPr>
            <w:tcW w:w="859" w:type="dxa"/>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7</w:t>
            </w:r>
          </w:p>
        </w:tc>
        <w:tc>
          <w:tcPr>
            <w:tcW w:w="709"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2019</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CFAP*在精子发生中的作用及分子机制研究</w:t>
            </w:r>
          </w:p>
        </w:tc>
        <w:tc>
          <w:tcPr>
            <w:tcW w:w="399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安徽医科大学第一附属医院、吕明荣</w:t>
            </w:r>
          </w:p>
        </w:tc>
        <w:tc>
          <w:tcPr>
            <w:tcW w:w="9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马春杰</w:t>
            </w:r>
          </w:p>
        </w:tc>
        <w:tc>
          <w:tcPr>
            <w:tcW w:w="859" w:type="dxa"/>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8</w:t>
            </w:r>
          </w:p>
        </w:tc>
        <w:tc>
          <w:tcPr>
            <w:tcW w:w="709"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2019</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LncRNA Gm2044在男性不育中的作用及机制研究</w:t>
            </w:r>
          </w:p>
        </w:tc>
        <w:tc>
          <w:tcPr>
            <w:tcW w:w="399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蚌埠医学院、梁猛</w:t>
            </w:r>
          </w:p>
        </w:tc>
        <w:tc>
          <w:tcPr>
            <w:tcW w:w="9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刘晓华</w:t>
            </w:r>
          </w:p>
        </w:tc>
        <w:tc>
          <w:tcPr>
            <w:tcW w:w="859" w:type="dxa"/>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9</w:t>
            </w:r>
          </w:p>
        </w:tc>
        <w:tc>
          <w:tcPr>
            <w:tcW w:w="709" w:type="dxa"/>
            <w:noWrap w:val="0"/>
            <w:vAlign w:val="center"/>
          </w:tcPr>
          <w:p>
            <w:pPr>
              <w:jc w:val="both"/>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2020</w:t>
            </w:r>
          </w:p>
        </w:tc>
        <w:tc>
          <w:tcPr>
            <w:tcW w:w="1118"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附睾梗阻介导的氧化应激抑制附睾上皮酸分泌的调控机制研究</w:t>
            </w:r>
          </w:p>
        </w:tc>
        <w:tc>
          <w:tcPr>
            <w:tcW w:w="3995"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rPr>
              <w:t>中山大学附属第一医院</w:t>
            </w:r>
            <w:r>
              <w:rPr>
                <w:rFonts w:hint="eastAsia" w:ascii="仿宋" w:hAnsi="仿宋" w:eastAsia="仿宋" w:cs="仿宋"/>
                <w:sz w:val="21"/>
                <w:szCs w:val="21"/>
                <w:lang w:eastAsia="zh-CN"/>
              </w:rPr>
              <w:t>、</w:t>
            </w:r>
            <w:r>
              <w:rPr>
                <w:rFonts w:hint="eastAsia" w:ascii="仿宋" w:hAnsi="仿宋" w:eastAsia="仿宋" w:cs="仿宋"/>
                <w:sz w:val="21"/>
                <w:szCs w:val="21"/>
              </w:rPr>
              <w:t>涂响安</w:t>
            </w:r>
          </w:p>
        </w:tc>
        <w:tc>
          <w:tcPr>
            <w:tcW w:w="982"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刘晃</w:t>
            </w:r>
          </w:p>
        </w:tc>
        <w:tc>
          <w:tcPr>
            <w:tcW w:w="859"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10</w:t>
            </w:r>
          </w:p>
        </w:tc>
        <w:tc>
          <w:tcPr>
            <w:tcW w:w="709" w:type="dxa"/>
            <w:noWrap w:val="0"/>
            <w:vAlign w:val="center"/>
          </w:tcPr>
          <w:p>
            <w:pPr>
              <w:jc w:val="both"/>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2020</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单侧阴囊可触及输精管的无精症的诊疗体系构建的探索</w:t>
            </w:r>
          </w:p>
        </w:tc>
        <w:tc>
          <w:tcPr>
            <w:tcW w:w="3995"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rPr>
              <w:t>中山大学附属第三医院</w:t>
            </w:r>
            <w:r>
              <w:rPr>
                <w:rFonts w:hint="eastAsia" w:ascii="仿宋" w:hAnsi="仿宋" w:eastAsia="仿宋" w:cs="仿宋"/>
                <w:sz w:val="21"/>
                <w:szCs w:val="21"/>
                <w:lang w:eastAsia="zh-CN"/>
              </w:rPr>
              <w:t>、</w:t>
            </w:r>
            <w:r>
              <w:rPr>
                <w:rFonts w:hint="eastAsia" w:ascii="仿宋" w:hAnsi="仿宋" w:eastAsia="仿宋" w:cs="仿宋"/>
                <w:sz w:val="21"/>
                <w:szCs w:val="21"/>
              </w:rPr>
              <w:t>张炎</w:t>
            </w:r>
          </w:p>
        </w:tc>
        <w:tc>
          <w:tcPr>
            <w:tcW w:w="982"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周雨</w:t>
            </w:r>
          </w:p>
        </w:tc>
        <w:tc>
          <w:tcPr>
            <w:tcW w:w="859"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11</w:t>
            </w:r>
          </w:p>
        </w:tc>
        <w:tc>
          <w:tcPr>
            <w:tcW w:w="709" w:type="dxa"/>
            <w:noWrap w:val="0"/>
            <w:vAlign w:val="center"/>
          </w:tcPr>
          <w:p>
            <w:pPr>
              <w:jc w:val="both"/>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2020</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联会复合体基因突变导致男性不育的分子机制研究</w:t>
            </w:r>
          </w:p>
        </w:tc>
        <w:tc>
          <w:tcPr>
            <w:tcW w:w="3995"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rPr>
              <w:t>中国科学技术大学附属第一医院</w:t>
            </w:r>
            <w:r>
              <w:rPr>
                <w:rFonts w:hint="eastAsia" w:ascii="仿宋" w:hAnsi="仿宋" w:eastAsia="仿宋" w:cs="仿宋"/>
                <w:sz w:val="21"/>
                <w:szCs w:val="21"/>
                <w:lang w:eastAsia="zh-CN"/>
              </w:rPr>
              <w:t>、</w:t>
            </w:r>
            <w:r>
              <w:rPr>
                <w:rFonts w:hint="eastAsia" w:ascii="仿宋" w:hAnsi="仿宋" w:eastAsia="仿宋" w:cs="仿宋"/>
                <w:sz w:val="21"/>
                <w:szCs w:val="21"/>
              </w:rPr>
              <w:t>江小华</w:t>
            </w:r>
          </w:p>
        </w:tc>
        <w:tc>
          <w:tcPr>
            <w:tcW w:w="982"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李铭臻</w:t>
            </w:r>
          </w:p>
        </w:tc>
        <w:tc>
          <w:tcPr>
            <w:tcW w:w="859"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12</w:t>
            </w:r>
          </w:p>
        </w:tc>
        <w:tc>
          <w:tcPr>
            <w:tcW w:w="709" w:type="dxa"/>
            <w:noWrap w:val="0"/>
            <w:vAlign w:val="center"/>
          </w:tcPr>
          <w:p>
            <w:pPr>
              <w:jc w:val="both"/>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2020</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TENT5D基因突变导致无头精子症的分子机制研究</w:t>
            </w:r>
          </w:p>
        </w:tc>
        <w:tc>
          <w:tcPr>
            <w:tcW w:w="3995"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rPr>
              <w:t>厦门大学附属妇女儿童医院</w:t>
            </w:r>
            <w:r>
              <w:rPr>
                <w:rFonts w:hint="eastAsia" w:ascii="仿宋" w:hAnsi="仿宋" w:eastAsia="仿宋" w:cs="仿宋"/>
                <w:sz w:val="21"/>
                <w:szCs w:val="21"/>
                <w:lang w:eastAsia="zh-CN"/>
              </w:rPr>
              <w:t>、</w:t>
            </w:r>
            <w:r>
              <w:rPr>
                <w:rFonts w:hint="eastAsia" w:ascii="仿宋" w:hAnsi="仿宋" w:eastAsia="仿宋" w:cs="仿宋"/>
                <w:sz w:val="21"/>
                <w:szCs w:val="21"/>
              </w:rPr>
              <w:t>沙艳伟</w:t>
            </w:r>
          </w:p>
        </w:tc>
        <w:tc>
          <w:tcPr>
            <w:tcW w:w="982"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聂华</w:t>
            </w:r>
          </w:p>
        </w:tc>
        <w:tc>
          <w:tcPr>
            <w:tcW w:w="859"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41" w:type="dxa"/>
            <w:noWrap w:val="0"/>
            <w:vAlign w:val="center"/>
          </w:tcPr>
          <w:p>
            <w:pPr>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13</w:t>
            </w:r>
          </w:p>
        </w:tc>
        <w:tc>
          <w:tcPr>
            <w:tcW w:w="709" w:type="dxa"/>
            <w:noWrap w:val="0"/>
            <w:vAlign w:val="center"/>
          </w:tcPr>
          <w:p>
            <w:pPr>
              <w:jc w:val="both"/>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2020</w:t>
            </w:r>
          </w:p>
        </w:tc>
        <w:tc>
          <w:tcPr>
            <w:tcW w:w="1118" w:type="dxa"/>
            <w:noWrap w:val="0"/>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一般项目</w:t>
            </w:r>
          </w:p>
        </w:tc>
        <w:tc>
          <w:tcPr>
            <w:tcW w:w="1132" w:type="dxa"/>
            <w:noWrap w:val="0"/>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结题报告</w:t>
            </w:r>
          </w:p>
        </w:tc>
        <w:tc>
          <w:tcPr>
            <w:tcW w:w="4664" w:type="dxa"/>
            <w:noWrap w:val="0"/>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UHRF1调控前精原细胞发育和转座子沉默的作用及机制研究</w:t>
            </w:r>
          </w:p>
        </w:tc>
        <w:tc>
          <w:tcPr>
            <w:tcW w:w="3995"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rPr>
              <w:t>华中科技大学同济医学院生殖健康研究所</w:t>
            </w:r>
            <w:r>
              <w:rPr>
                <w:rFonts w:hint="eastAsia" w:ascii="仿宋" w:hAnsi="仿宋" w:eastAsia="仿宋" w:cs="仿宋"/>
                <w:sz w:val="21"/>
                <w:szCs w:val="21"/>
                <w:lang w:eastAsia="zh-CN"/>
              </w:rPr>
              <w:t>、</w:t>
            </w:r>
            <w:r>
              <w:rPr>
                <w:rFonts w:hint="eastAsia" w:ascii="仿宋" w:hAnsi="仿宋" w:eastAsia="仿宋" w:cs="仿宋"/>
                <w:sz w:val="21"/>
                <w:szCs w:val="21"/>
              </w:rPr>
              <w:t>袁水桥</w:t>
            </w:r>
          </w:p>
        </w:tc>
        <w:tc>
          <w:tcPr>
            <w:tcW w:w="982"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顾恒</w:t>
            </w:r>
          </w:p>
        </w:tc>
        <w:tc>
          <w:tcPr>
            <w:tcW w:w="859" w:type="dxa"/>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10万</w:t>
            </w:r>
          </w:p>
        </w:tc>
      </w:tr>
    </w:tbl>
    <w:p>
      <w:bookmarkStart w:id="0" w:name="_GoBack"/>
      <w:bookmarkEnd w:id="0"/>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NzJhMjNmMmIyN2M4MzM5MGI4Y2E4MDk4MzBkOGYifQ=="/>
  </w:docVars>
  <w:rsids>
    <w:rsidRoot w:val="083D66FC"/>
    <w:rsid w:val="083D66FC"/>
    <w:rsid w:val="1BF46430"/>
    <w:rsid w:val="21DB01AD"/>
    <w:rsid w:val="33A02A3C"/>
    <w:rsid w:val="6E5C6283"/>
    <w:rsid w:val="6FDD4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702</Words>
  <Characters>799</Characters>
  <Lines>0</Lines>
  <Paragraphs>0</Paragraphs>
  <TotalTime>3</TotalTime>
  <ScaleCrop>false</ScaleCrop>
  <LinksUpToDate>false</LinksUpToDate>
  <CharactersWithSpaces>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2023-08-10T02:13:00Z</dcterms:created>
  <dc:creator>Administrator</dc:creator>
  <cp:lastModifiedBy>粤生殖</cp:lastModifiedBy>
  <dcterms:modified xsi:type="dcterms:W3CDTF">2023-09-04T01:38:43Z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2919F48071DA4544B0806CE8D83A85C2_13</vt:lpwstr>
  </property>
</Properties>
</file>