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A88E" w14:textId="3DF22F98" w:rsidR="00200E94" w:rsidRDefault="00200E9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服务要求：</w:t>
      </w:r>
    </w:p>
    <w:p w14:paraId="41619964" w14:textId="3AF31C97" w:rsidR="00200E94" w:rsidRDefault="00200E94" w:rsidP="00200E94">
      <w:pPr>
        <w:rPr>
          <w:rFonts w:ascii="宋体" w:hAnsi="宋体" w:cs="宋体"/>
          <w:szCs w:val="21"/>
        </w:rPr>
      </w:pPr>
      <w:r w:rsidRPr="00200E94">
        <w:rPr>
          <w:rFonts w:ascii="宋体" w:hAnsi="宋体" w:cs="宋体"/>
          <w:szCs w:val="21"/>
        </w:rPr>
        <w:t>其它要求：该项目整体包干，包含控制主机、LED控制器、20KW配 电柜、钢结构、大屏备品备件、电缆、布线及整体安装调试等</w:t>
      </w:r>
    </w:p>
    <w:p w14:paraId="002D1742" w14:textId="77777777" w:rsidR="00200E94" w:rsidRDefault="00200E94" w:rsidP="00200E94">
      <w:pPr>
        <w:pStyle w:val="a0"/>
      </w:pPr>
    </w:p>
    <w:p w14:paraId="63447C22" w14:textId="77777777" w:rsidR="00200E94" w:rsidRDefault="00200E94" w:rsidP="00200E94">
      <w:pPr>
        <w:pStyle w:val="a0"/>
      </w:pPr>
    </w:p>
    <w:p w14:paraId="1EA591AC" w14:textId="77777777" w:rsidR="00200E94" w:rsidRDefault="00200E94" w:rsidP="00200E94">
      <w:pPr>
        <w:pStyle w:val="a0"/>
      </w:pPr>
    </w:p>
    <w:p w14:paraId="2DDC271D" w14:textId="5F51E87A" w:rsidR="00200E94" w:rsidRPr="00200E94" w:rsidRDefault="00200E94" w:rsidP="00200E94">
      <w:pPr>
        <w:pStyle w:val="a0"/>
        <w:rPr>
          <w:rFonts w:cs="宋体"/>
          <w:kern w:val="2"/>
          <w:sz w:val="21"/>
          <w:szCs w:val="21"/>
        </w:rPr>
      </w:pPr>
      <w:r w:rsidRPr="00200E94">
        <w:rPr>
          <w:rFonts w:cs="宋体" w:hint="eastAsia"/>
          <w:kern w:val="2"/>
          <w:sz w:val="21"/>
          <w:szCs w:val="21"/>
        </w:rPr>
        <w:t>需求描述：</w:t>
      </w:r>
    </w:p>
    <w:p w14:paraId="49C97A3A" w14:textId="482AD8E3" w:rsidR="00200E94" w:rsidRPr="00200E94" w:rsidRDefault="00200E94" w:rsidP="00200E94">
      <w:pPr>
        <w:pStyle w:val="a0"/>
        <w:rPr>
          <w:rFonts w:cs="宋体"/>
          <w:kern w:val="2"/>
          <w:sz w:val="21"/>
          <w:szCs w:val="21"/>
        </w:rPr>
      </w:pPr>
      <w:r w:rsidRPr="00200E94">
        <w:rPr>
          <w:rFonts w:cs="宋体"/>
          <w:kern w:val="2"/>
          <w:sz w:val="21"/>
          <w:szCs w:val="21"/>
        </w:rPr>
        <w:t>1 合同签订后</w:t>
      </w:r>
      <w:r w:rsidR="00AC6FE3">
        <w:rPr>
          <w:rFonts w:cs="宋体"/>
          <w:kern w:val="2"/>
          <w:sz w:val="21"/>
          <w:szCs w:val="21"/>
        </w:rPr>
        <w:t>7</w:t>
      </w:r>
      <w:r w:rsidRPr="00200E94">
        <w:rPr>
          <w:rFonts w:cs="宋体"/>
          <w:kern w:val="2"/>
          <w:sz w:val="21"/>
          <w:szCs w:val="21"/>
        </w:rPr>
        <w:t>天内完成项目建设内容。 设计服务要求：设计方案要符合国家和地方的相关规范和标准，根据招标方的需求 能、环保、防火等因素，以及多功能厅的主要使用功能和场景，进行修改和完善。 施工服务：中标方要按照设计方案和合 并在施工过程中保证安全、环保等方面的要求。 调试服务：中标方要对多功能厅的设备、会议系统等进行全面的检测和调 和证明文件。</w:t>
      </w:r>
    </w:p>
    <w:p w14:paraId="57B93EF6" w14:textId="77777777" w:rsidR="00200E94" w:rsidRDefault="00200E94" w:rsidP="00200E94">
      <w:pPr>
        <w:pStyle w:val="a0"/>
        <w:rPr>
          <w:rFonts w:cs="宋体"/>
          <w:kern w:val="2"/>
          <w:sz w:val="21"/>
          <w:szCs w:val="21"/>
        </w:rPr>
      </w:pPr>
      <w:r w:rsidRPr="00200E94">
        <w:rPr>
          <w:rFonts w:cs="宋体"/>
          <w:kern w:val="2"/>
          <w:sz w:val="21"/>
          <w:szCs w:val="21"/>
        </w:rPr>
        <w:t xml:space="preserve"> </w:t>
      </w:r>
    </w:p>
    <w:p w14:paraId="5A4FC65E" w14:textId="60E54C9E" w:rsidR="00200E94" w:rsidRPr="00200E94" w:rsidRDefault="00200E94" w:rsidP="00200E94">
      <w:pPr>
        <w:pStyle w:val="a0"/>
        <w:rPr>
          <w:rFonts w:cs="宋体"/>
          <w:kern w:val="2"/>
          <w:sz w:val="21"/>
          <w:szCs w:val="21"/>
        </w:rPr>
      </w:pPr>
      <w:r w:rsidRPr="00200E94">
        <w:rPr>
          <w:rFonts w:cs="宋体"/>
          <w:kern w:val="2"/>
          <w:sz w:val="21"/>
          <w:szCs w:val="21"/>
        </w:rPr>
        <w:t>2 质量要求：质量管理要遵循ISO9001质量管理体系的要求产品供货时提供“出厂检验报告”和“合格证”施工过程要按照 管理要遵循项目管理知识体系（PMBOK）的要求，制定合理的工作计划和进度控制方法，按时按量完成工程任务，及时</w:t>
      </w:r>
    </w:p>
    <w:p w14:paraId="427D4C50" w14:textId="77777777" w:rsidR="00200E94" w:rsidRDefault="00200E94" w:rsidP="00200E94">
      <w:pPr>
        <w:pStyle w:val="a0"/>
        <w:rPr>
          <w:rFonts w:cs="宋体"/>
          <w:kern w:val="2"/>
          <w:sz w:val="21"/>
          <w:szCs w:val="21"/>
        </w:rPr>
      </w:pPr>
      <w:r w:rsidRPr="00200E94">
        <w:rPr>
          <w:rFonts w:cs="宋体"/>
          <w:kern w:val="2"/>
          <w:sz w:val="21"/>
          <w:szCs w:val="21"/>
        </w:rPr>
        <w:t xml:space="preserve"> </w:t>
      </w:r>
    </w:p>
    <w:p w14:paraId="00E22093" w14:textId="78B13CFA" w:rsidR="00200E94" w:rsidRPr="00200E94" w:rsidRDefault="00200E94" w:rsidP="00200E94">
      <w:pPr>
        <w:pStyle w:val="a0"/>
        <w:rPr>
          <w:rFonts w:cs="宋体"/>
          <w:kern w:val="2"/>
          <w:sz w:val="21"/>
          <w:szCs w:val="21"/>
        </w:rPr>
      </w:pPr>
      <w:r w:rsidRPr="00200E94">
        <w:rPr>
          <w:rFonts w:cs="宋体"/>
          <w:kern w:val="2"/>
          <w:sz w:val="21"/>
          <w:szCs w:val="21"/>
        </w:rPr>
        <w:t>3 安全要求：安全管理要遵循国家和地方的安全生产法规和标准，制定有效的安全措施和应急预案，加强安全教育和培训， 招标方的相关人员进行多功能厅的使用、操作、维护等方面的培训，并提供相关的培训资料和证书。 售后服务：中标方要 的技术支持和维修服务，并承担因质量问题造成的损失和责任</w:t>
      </w:r>
    </w:p>
    <w:p w14:paraId="0E41C4E7" w14:textId="77777777" w:rsidR="00200E94" w:rsidRDefault="00200E94" w:rsidP="00200E94">
      <w:pPr>
        <w:rPr>
          <w:rFonts w:ascii="宋体" w:hAnsi="宋体" w:cs="宋体"/>
          <w:szCs w:val="21"/>
        </w:rPr>
      </w:pPr>
    </w:p>
    <w:p w14:paraId="5B6F4B2E" w14:textId="5BE57EE3" w:rsidR="00200E94" w:rsidRPr="00200E94" w:rsidRDefault="00200E94" w:rsidP="00200E9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4：</w:t>
      </w:r>
      <w:r>
        <w:t>工现场的管理</w:t>
      </w:r>
      <w:r>
        <w:t xml:space="preserve"> </w:t>
      </w:r>
      <w:r>
        <w:t>按照施工现场实际情况，在施工场地选择合适的施工用水、用电驳接点，并进行接驳，施工场地内施工</w:t>
      </w:r>
      <w:r>
        <w:t xml:space="preserve"> </w:t>
      </w:r>
      <w:r>
        <w:t>安装，安装现场工作和生活条件自行解决。现场堆放材料须按要求统一地点堆放，当天施工材料、工具、垃圾应及时清理</w:t>
      </w:r>
      <w:r>
        <w:t xml:space="preserve"> </w:t>
      </w:r>
      <w:r>
        <w:t>筑物、构筑物、绿化等进行保护，如造成原有的建筑物、构筑物、绿化等损坏，应负责修复和赔偿。</w:t>
      </w:r>
    </w:p>
    <w:p w14:paraId="13A20008" w14:textId="5BD6B4BD" w:rsidR="00200E94" w:rsidRPr="00200E94" w:rsidRDefault="00200E94" w:rsidP="00200E94">
      <w:pPr>
        <w:rPr>
          <w:rFonts w:ascii="宋体" w:hAnsi="宋体" w:cs="宋体"/>
          <w:szCs w:val="21"/>
        </w:rPr>
      </w:pPr>
      <w:r>
        <w:t>需求描述</w:t>
      </w:r>
      <w:r w:rsidRPr="00200E94">
        <w:rPr>
          <w:rFonts w:ascii="宋体" w:hAnsi="宋体" w:cs="宋体" w:hint="eastAsia"/>
          <w:szCs w:val="21"/>
        </w:rPr>
        <w:t>：</w:t>
      </w:r>
    </w:p>
    <w:p w14:paraId="30E133A0" w14:textId="17803B2B" w:rsidR="000E1946" w:rsidRDefault="0000000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1、★像素间距（mm）：≤</w:t>
      </w:r>
      <w:r w:rsidR="00280E35"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.</w:t>
      </w:r>
      <w:r w:rsidR="00280E35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5,刷新率≥3840HZ；</w:t>
      </w:r>
      <w:r w:rsidR="00280E35">
        <w:rPr>
          <w:rFonts w:ascii="宋体" w:hAnsi="宋体" w:cs="宋体" w:hint="eastAsia"/>
          <w:szCs w:val="21"/>
        </w:rPr>
        <w:t>显示尺寸</w:t>
      </w:r>
      <w:r w:rsidR="00D80B69">
        <w:rPr>
          <w:rFonts w:ascii="宋体" w:hAnsi="宋体" w:cs="宋体" w:hint="eastAsia"/>
          <w:szCs w:val="21"/>
        </w:rPr>
        <w:t>：≥</w:t>
      </w:r>
      <w:r w:rsidR="00280E35">
        <w:rPr>
          <w:rFonts w:ascii="宋体" w:hAnsi="宋体" w:cs="宋体" w:hint="eastAsia"/>
          <w:szCs w:val="21"/>
        </w:rPr>
        <w:t>宽3</w:t>
      </w:r>
      <w:r w:rsidR="00280E35">
        <w:rPr>
          <w:rFonts w:ascii="宋体" w:hAnsi="宋体" w:cs="宋体"/>
          <w:szCs w:val="21"/>
        </w:rPr>
        <w:t>200</w:t>
      </w:r>
      <w:r w:rsidR="00280E35">
        <w:rPr>
          <w:rFonts w:ascii="宋体" w:hAnsi="宋体" w:cs="宋体" w:hint="eastAsia"/>
          <w:szCs w:val="21"/>
        </w:rPr>
        <w:t>mm</w:t>
      </w:r>
      <w:r w:rsidR="00280E35">
        <w:rPr>
          <w:rFonts w:ascii="宋体" w:hAnsi="宋体" w:cs="宋体"/>
          <w:szCs w:val="21"/>
        </w:rPr>
        <w:t>*</w:t>
      </w:r>
      <w:r w:rsidR="00280E35">
        <w:rPr>
          <w:rFonts w:ascii="宋体" w:hAnsi="宋体" w:cs="宋体" w:hint="eastAsia"/>
          <w:szCs w:val="21"/>
        </w:rPr>
        <w:t>高1</w:t>
      </w:r>
      <w:r w:rsidR="00280E35">
        <w:rPr>
          <w:rFonts w:ascii="宋体" w:hAnsi="宋体" w:cs="宋体"/>
          <w:szCs w:val="21"/>
        </w:rPr>
        <w:t>760mm,</w:t>
      </w:r>
      <w:r w:rsidR="00280E35">
        <w:rPr>
          <w:rFonts w:ascii="宋体" w:hAnsi="宋体" w:cs="宋体" w:hint="eastAsia"/>
          <w:szCs w:val="21"/>
        </w:rPr>
        <w:t>显示分辨率：2</w:t>
      </w:r>
      <w:r w:rsidR="00280E35">
        <w:rPr>
          <w:rFonts w:ascii="宋体" w:hAnsi="宋体" w:cs="宋体"/>
          <w:szCs w:val="21"/>
        </w:rPr>
        <w:t>560*1408</w:t>
      </w:r>
      <w:r w:rsidR="00280E35">
        <w:rPr>
          <w:rFonts w:ascii="宋体" w:hAnsi="宋体" w:cs="宋体" w:hint="eastAsia"/>
          <w:szCs w:val="21"/>
        </w:rPr>
        <w:t>；</w:t>
      </w:r>
    </w:p>
    <w:p w14:paraId="4A863EF1" w14:textId="6FAD01CA" w:rsidR="000E1946" w:rsidRDefault="0000000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2、对比度≥</w:t>
      </w:r>
      <w:r w:rsidR="00280E35">
        <w:rPr>
          <w:rFonts w:ascii="宋体" w:hAnsi="宋体" w:cs="宋体"/>
          <w:color w:val="000000"/>
          <w:szCs w:val="21"/>
        </w:rPr>
        <w:t>9000</w:t>
      </w:r>
      <w:r>
        <w:rPr>
          <w:rFonts w:ascii="宋体" w:hAnsi="宋体" w:cs="宋体" w:hint="eastAsia"/>
          <w:color w:val="000000"/>
          <w:szCs w:val="21"/>
        </w:rPr>
        <w:t>：1；</w:t>
      </w:r>
    </w:p>
    <w:p w14:paraId="1B2977C6" w14:textId="32BA56F8" w:rsidR="000E1946" w:rsidRDefault="00000000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3、视角：水平视角≥170°，垂直视角≥170°；</w:t>
      </w:r>
    </w:p>
    <w:p w14:paraId="20E4A0B4" w14:textId="65170EE9" w:rsidR="000E1946" w:rsidRDefault="0000000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4、最大亮度（nits）：≥</w:t>
      </w:r>
      <w:r w:rsidR="00280E35">
        <w:rPr>
          <w:rFonts w:ascii="宋体" w:hAnsi="宋体" w:cs="宋体"/>
          <w:szCs w:val="21"/>
        </w:rPr>
        <w:t>50</w:t>
      </w:r>
      <w:r>
        <w:rPr>
          <w:rFonts w:ascii="宋体" w:hAnsi="宋体" w:cs="宋体" w:hint="eastAsia"/>
          <w:szCs w:val="21"/>
        </w:rPr>
        <w:t>0，亮度均匀性≥99%，亮度鉴别等级：C级；</w:t>
      </w:r>
    </w:p>
    <w:p w14:paraId="7DF5CE96" w14:textId="19E82945" w:rsidR="000E1946" w:rsidRDefault="00000000">
      <w:pPr>
        <w:pStyle w:val="a4"/>
        <w:rPr>
          <w:rFonts w:ascii="宋体" w:hAnsi="宋体" w:cs="宋体"/>
          <w:color w:val="0000FF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5、▲像素光强均匀性：LRJ:≤8%，LGJ:≤8%，LBJ:≤8%（提供具有CMA、ilAC-MRA及CNAS标识的权威第三方检测报告复印件，并加盖原厂公章）；</w:t>
      </w:r>
    </w:p>
    <w:p w14:paraId="5A034F58" w14:textId="2FE5B1F1" w:rsidR="000E1946" w:rsidRDefault="00000000">
      <w:pPr>
        <w:pStyle w:val="a4"/>
        <w:rPr>
          <w:rFonts w:ascii="宋体" w:hAnsi="宋体" w:cs="宋体"/>
          <w:color w:val="0000FF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6、</w:t>
      </w:r>
      <w:r>
        <w:rPr>
          <w:rFonts w:ascii="宋体" w:hAnsi="宋体" w:cs="宋体"/>
          <w:sz w:val="21"/>
          <w:szCs w:val="21"/>
        </w:rPr>
        <w:t>基色主波长</w:t>
      </w:r>
      <w:r>
        <w:rPr>
          <w:rFonts w:ascii="宋体" w:hAnsi="宋体" w:cs="宋体" w:hint="eastAsia"/>
          <w:sz w:val="21"/>
          <w:szCs w:val="21"/>
        </w:rPr>
        <w:t>误差C级：</w:t>
      </w:r>
      <w:r>
        <w:rPr>
          <w:rFonts w:ascii="宋体" w:hAnsi="宋体" w:cs="宋体"/>
          <w:sz w:val="21"/>
          <w:szCs w:val="21"/>
        </w:rPr>
        <w:t>△λD≤5</w:t>
      </w:r>
      <w:r>
        <w:rPr>
          <w:rFonts w:ascii="宋体" w:hAnsi="宋体" w:cs="宋体" w:hint="eastAsia"/>
          <w:sz w:val="21"/>
          <w:szCs w:val="21"/>
        </w:rPr>
        <w:t>nm，亮度误差值在5%以内（提供具有CMA、ilAC-MRA及CNAS标识的权威第三方检测报告复印件，并加盖原厂公章）；</w:t>
      </w:r>
    </w:p>
    <w:p w14:paraId="4C07D0BD" w14:textId="427C26B4" w:rsidR="000E1946" w:rsidRDefault="00000000">
      <w:pPr>
        <w:pStyle w:val="a4"/>
        <w:rPr>
          <w:rFonts w:ascii="宋体" w:hAnsi="宋体" w:cs="宋体"/>
          <w:color w:val="0000FF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7、支持PPA碗杯结构、点胶封装、出光方式为单面发光；支持PCB平面结构，molding封装、切割、出光方式为五面发光（提供具有CMA、ilAC-MRA及CNAS标识的权威第三方检测报告复印件，并加盖原厂公章）;</w:t>
      </w:r>
    </w:p>
    <w:p w14:paraId="62DFC078" w14:textId="4B8E05C9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8、色温：2500-12000K可调，色温误差：色温为 6500K时，100%,75%,50%,25%四挡电平白场调节色温误差≤100K（提供具有CMA、ilAC-MRA及CNAS标识的权威第三方检测报告复印件，并加盖原厂公章）;</w:t>
      </w:r>
    </w:p>
    <w:p w14:paraId="3CE7A551" w14:textId="5E1AF74C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9、模组采用4P接插头，免工具维护，具有防呆装置，避免线路接错的问题；</w:t>
      </w:r>
    </w:p>
    <w:p w14:paraId="1DBDF995" w14:textId="1ACA4DE5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lastRenderedPageBreak/>
        <w:t>10、保护技术:显示屏具有防潮、防尘、防腐蚀、防电磁干扰、防静电等功能，并具有过流、短路、过压、欠压保护等功能（提供具有CMA、ilAC-MRA及CNAS标识的权威第三方检测报告复印件，并加盖原厂公章）;</w:t>
      </w:r>
    </w:p>
    <w:p w14:paraId="1C1C84D9" w14:textId="4FDADFD8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11、支持HDR3.0高图像动态技术（提供具有CMA、ilAC-MRA及CNAS标识的权威第三方检测报告复印件，并加盖原厂公章）;</w:t>
      </w:r>
    </w:p>
    <w:p w14:paraId="0D2149C2" w14:textId="07B89939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12、显示画面无几何畸变、扭曲、比例失调情况，无亮度、色温、非线性失真;</w:t>
      </w:r>
    </w:p>
    <w:p w14:paraId="5117518C" w14:textId="1B61885A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13、校正曲线:支持γ 校正曲线≥20条（提供具有CMA、ilAC-MRA及CNAS标识的权威第三方检测报告复印件，并加盖原厂公章）;</w:t>
      </w:r>
    </w:p>
    <w:p w14:paraId="06A038F0" w14:textId="5719FF3C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14、色坐标偏差：U‘±0.015，V‘：±0.015（提供具有CMA、ilAC-MRA及CNAS标识的权威第三方检测报告复印件，并加盖原厂公章）;</w:t>
      </w:r>
    </w:p>
    <w:p w14:paraId="4BB4F0D4" w14:textId="0A78CB40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15、▲具备SELV电路，工作电源波纹及噪音≤200mVp-p（提供具有CMA、ilAC-MRA及CNAS标识的权威第三方检测报告复印件，并加盖原厂公章）;</w:t>
      </w:r>
    </w:p>
    <w:p w14:paraId="7787E435" w14:textId="583B5FF8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16、带有智能节电功能，带电黑屏节电功能，开启智能节电功能比没有智能节电功能，节能60%以上、LED显示屏能效一级（提供具有CMA、ilAC-MRA及CNAS标识的权威第三方检测报告复印件，并加盖原厂公章）；</w:t>
      </w:r>
    </w:p>
    <w:p w14:paraId="334AB460" w14:textId="6928AB2A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17、▲在常规温度下，LED显示屏供电电源的功率因素≥90%，转换效率≥80%（提供具有CMA、ilAC-MRA及CNAS标识的权威第三方检测报告复印件，并加盖原厂公章）；</w:t>
      </w:r>
    </w:p>
    <w:p w14:paraId="53F688BC" w14:textId="3914AC74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19、平均使用寿命：≥100000hrs，平均无故障时间：≥100000hrs（提供具有CMA、ilAC-MRA及CNAS标识的权威第三方检测报告复印件，并加盖原厂公章）；</w:t>
      </w:r>
    </w:p>
    <w:p w14:paraId="33E8878A" w14:textId="01D7E0C7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18、抗拉力≥4800N，抗压力≥4600N，防护等级符合IP</w:t>
      </w:r>
      <w:r w:rsidR="00280E35">
        <w:rPr>
          <w:rFonts w:ascii="宋体" w:hAnsi="宋体" w:cs="宋体"/>
          <w:sz w:val="21"/>
          <w:szCs w:val="21"/>
        </w:rPr>
        <w:t>43</w:t>
      </w:r>
      <w:r>
        <w:rPr>
          <w:rFonts w:ascii="宋体" w:hAnsi="宋体" w:cs="宋体" w:hint="eastAsia"/>
          <w:sz w:val="21"/>
          <w:szCs w:val="21"/>
        </w:rPr>
        <w:t>（提供具有CMA、ilAC-MRA及CNAS标识的权威第三方检测报告复印件，并加盖原厂公章）；</w:t>
      </w:r>
    </w:p>
    <w:p w14:paraId="7AA47A8B" w14:textId="51D6D0CA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19、抗紫外UV辐射：试验后，样品外观无异常，符合5级（提供具有CMA、ilAC-MRA及CNAS标识的权威第三方检测报告复印件，并加盖原厂公章）；</w:t>
      </w:r>
    </w:p>
    <w:p w14:paraId="12FE164B" w14:textId="798AB4A1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20、符合GB/T 18313-2001声学信息技术设备和通信设备空气噪音的测量：在室温：25°C，湿度：40%RH，大气压力：100.2kPa情况下，屏前、屏后、屏左、屏右1m处，噪声声压＜3.6dB（A）（提供具有CMA、ilAC-MRA及CNAS标识的权威第三方检测报告复印件，并加盖原厂公章）；</w:t>
      </w:r>
    </w:p>
    <w:p w14:paraId="38A9EF06" w14:textId="59408357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21、▲PCB板、单元塑料面板料、单元整体满足V-0级，余焰和（或）余灼不能蔓延到夹持夹具，燃烧的颗粒或滴状物不能引燃棉花垫（提供具有CMA、ilAC-MRA及CNAS标识的权威第三方检测报告复印件，并加盖原厂公章）；</w:t>
      </w:r>
    </w:p>
    <w:p w14:paraId="6A43805C" w14:textId="1AFB8E61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22、长时间没有使用屏体，屏体自动切入除湿模式，使屏体从10%到100%亮度逐步显示，达到保护LED灯（提供具有CMA、ilAC-MRA及CNAS标识的权威第三方检测报告复印件，并加盖原厂公章）；</w:t>
      </w:r>
    </w:p>
    <w:p w14:paraId="3AA038B1" w14:textId="3F91D6B0" w:rsidR="000E1946" w:rsidRDefault="00000000">
      <w:pPr>
        <w:pStyle w:val="a4"/>
        <w:rPr>
          <w:rFonts w:ascii="宋体" w:hAnsi="宋体" w:cs="宋体"/>
          <w:color w:val="FF0000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23、▲测试条件：Ta=25±5°C，RH≤75%RH，10mA*10000HR，衰减率≤8%，1000Hr后，外观正常，R/G/B光衰分别为96.3%/94.2%/93.6%（提供具有CMA、ilAC-MRA及CNAS标识的权威第三方检测报告复印件，并加盖原厂公章）;</w:t>
      </w:r>
    </w:p>
    <w:p w14:paraId="2FABAE07" w14:textId="58E5E14C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27、设备在正常工作条件下，连续工作 168h，不应出现电、机械或操作系统的故障；</w:t>
      </w:r>
    </w:p>
    <w:p w14:paraId="68400035" w14:textId="060105C4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24、▲数据传输安全技术：支持网线传导加扰技术。使用时无需配置，接上电源后即可实现各端口的网线传导加扰，防止传输信息的失泄密及防止劫持相关设备。干扰信号带宽：10MHz-1.5GHz。相关干扰信号幅度(Vp-p）＞2.5V。无线防护输出功率40mW。电源隔离度10KHz-30MHz,≥40dB（提供具有CMA、ilAC-MRA及CNAS标识的权威第三方检测报告复印件，并加盖原厂公章）;</w:t>
      </w:r>
    </w:p>
    <w:p w14:paraId="7A54DDE6" w14:textId="7046EBEB" w:rsidR="000E1946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lastRenderedPageBreak/>
        <w:t>25、可实现远程监督控制，对可能发生的潜在故障记录日志，并向操作员发出警报信号;</w:t>
      </w:r>
    </w:p>
    <w:p w14:paraId="24D1A8EF" w14:textId="77777777" w:rsidR="000E1946" w:rsidRDefault="00000000">
      <w:pPr>
        <w:pStyle w:val="a4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26、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要求所投产品具有中国节能产品认证（提供证书复印件，并加盖原厂公章）；</w:t>
      </w:r>
    </w:p>
    <w:p w14:paraId="1A4A8D5A" w14:textId="77777777" w:rsidR="000E1946" w:rsidRDefault="00000000">
      <w:pPr>
        <w:pStyle w:val="a4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27、▲提倡绿色低碳生产方式，LED显示屏产品符合碳中和要求，并提供证书复印件加原厂公章；</w:t>
      </w:r>
    </w:p>
    <w:p w14:paraId="391D75D6" w14:textId="77777777" w:rsidR="000E1946" w:rsidRDefault="00000000">
      <w:pPr>
        <w:pStyle w:val="a4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28、▲考虑到显示内容与大屏系统点对点，达到最佳效果，LED大屏制造商需具有“三维图像显示方法、装置、计算机设备及存储介质”技术，提供相应技术证书复印件加盖制造商公章；</w:t>
      </w:r>
    </w:p>
    <w:p w14:paraId="3A3E58CD" w14:textId="77777777" w:rsidR="000E1946" w:rsidRDefault="00000000">
      <w:pPr>
        <w:pStyle w:val="a4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29、</w:t>
      </w:r>
      <w:r>
        <w:rPr>
          <w:rFonts w:ascii="宋体" w:hAnsi="宋体" w:cs="宋体" w:hint="eastAsia"/>
          <w:color w:val="000000" w:themeColor="text1"/>
          <w:szCs w:val="24"/>
        </w:rPr>
        <w:t>所投屏体须通过CE，HDR3.0，8K超高清认证</w:t>
      </w:r>
      <w:r>
        <w:rPr>
          <w:rFonts w:ascii="宋体" w:hAnsi="宋体" w:cs="宋体" w:hint="eastAsia"/>
          <w:szCs w:val="24"/>
        </w:rPr>
        <w:t>（提供证书复印件，并加盖原厂公章）；</w:t>
      </w:r>
    </w:p>
    <w:p w14:paraId="04E183F2" w14:textId="77777777" w:rsidR="000E1946" w:rsidRDefault="00000000">
      <w:pPr>
        <w:pStyle w:val="a4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30、非OEM产品：要求3C证书中认证委托人、产品生产者、生产企业三者名称须一致或为同一集团、法人企业（提供3C证书复印件加盖原厂公章）；</w:t>
      </w:r>
    </w:p>
    <w:p w14:paraId="5A8F9BBA" w14:textId="77777777" w:rsidR="000E1946" w:rsidRDefault="00000000">
      <w:r>
        <w:rPr>
          <w:rFonts w:asciiTheme="minorEastAsia" w:eastAsiaTheme="minorEastAsia" w:hAnsiTheme="minorEastAsia" w:cstheme="minorEastAsia" w:hint="eastAsia"/>
          <w:szCs w:val="21"/>
        </w:rPr>
        <w:t>31、★产品及售后保障：投标人需获得LED显示屏生产厂家针对本项目的授权书及售后服务承诺函盖章原件。（供货时必须</w:t>
      </w:r>
      <w:r>
        <w:rPr>
          <w:rFonts w:ascii="宋体" w:hAnsi="宋体" w:cs="宋体" w:hint="eastAsia"/>
          <w:szCs w:val="21"/>
        </w:rPr>
        <w:t>提供盖章版原件）</w:t>
      </w:r>
    </w:p>
    <w:sectPr w:rsidR="000E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5339" w14:textId="77777777" w:rsidR="00003791" w:rsidRDefault="00003791" w:rsidP="00280E35">
      <w:r>
        <w:separator/>
      </w:r>
    </w:p>
  </w:endnote>
  <w:endnote w:type="continuationSeparator" w:id="0">
    <w:p w14:paraId="2A54D359" w14:textId="77777777" w:rsidR="00003791" w:rsidRDefault="00003791" w:rsidP="0028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BBB4" w14:textId="77777777" w:rsidR="00003791" w:rsidRDefault="00003791" w:rsidP="00280E35">
      <w:r>
        <w:separator/>
      </w:r>
    </w:p>
  </w:footnote>
  <w:footnote w:type="continuationSeparator" w:id="0">
    <w:p w14:paraId="1347C806" w14:textId="77777777" w:rsidR="00003791" w:rsidRDefault="00003791" w:rsidP="0028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M2OTliMjlmY2FjYzFiYWRiOTIwOTY2ODYwYjA3NTMifQ=="/>
  </w:docVars>
  <w:rsids>
    <w:rsidRoot w:val="78045450"/>
    <w:rsid w:val="00003791"/>
    <w:rsid w:val="000E1946"/>
    <w:rsid w:val="00200E94"/>
    <w:rsid w:val="00280E35"/>
    <w:rsid w:val="00842418"/>
    <w:rsid w:val="00AB500A"/>
    <w:rsid w:val="00AC6FE3"/>
    <w:rsid w:val="00D00BF5"/>
    <w:rsid w:val="00D80B69"/>
    <w:rsid w:val="00F95B24"/>
    <w:rsid w:val="04F75026"/>
    <w:rsid w:val="22073DBD"/>
    <w:rsid w:val="23104268"/>
    <w:rsid w:val="2FCB6AD6"/>
    <w:rsid w:val="4A897A9B"/>
    <w:rsid w:val="5EC71AD4"/>
    <w:rsid w:val="75E136F2"/>
    <w:rsid w:val="7804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3082C"/>
  <w15:docId w15:val="{2F07842E-7BA4-45CD-8F84-E2FCAE7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pPr>
      <w:snapToGrid w:val="0"/>
      <w:jc w:val="left"/>
    </w:pPr>
    <w:rPr>
      <w:rFonts w:ascii="宋体" w:hAnsi="宋体"/>
      <w:kern w:val="0"/>
      <w:sz w:val="28"/>
    </w:rPr>
  </w:style>
  <w:style w:type="paragraph" w:customStyle="1" w:styleId="a4">
    <w:name w:val="表格文字"/>
    <w:basedOn w:val="a"/>
    <w:qFormat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</w:rPr>
  </w:style>
  <w:style w:type="paragraph" w:styleId="a5">
    <w:name w:val="header"/>
    <w:basedOn w:val="a"/>
    <w:link w:val="a6"/>
    <w:rsid w:val="00280E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280E35"/>
    <w:rPr>
      <w:kern w:val="2"/>
      <w:sz w:val="18"/>
      <w:szCs w:val="18"/>
    </w:rPr>
  </w:style>
  <w:style w:type="paragraph" w:styleId="a7">
    <w:name w:val="footer"/>
    <w:basedOn w:val="a"/>
    <w:link w:val="a8"/>
    <w:rsid w:val="00280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280E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。梓胜</dc:creator>
  <cp:lastModifiedBy>由佳 郑</cp:lastModifiedBy>
  <cp:revision>7</cp:revision>
  <dcterms:created xsi:type="dcterms:W3CDTF">2023-06-12T07:49:00Z</dcterms:created>
  <dcterms:modified xsi:type="dcterms:W3CDTF">2023-08-31T08:19:00Z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3A90213D5A614B6A936F197822920E3E</vt:lpwstr>
  </property>
</Properties>
</file>